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9793" w14:textId="3F39B0E2" w:rsidR="009F50CE" w:rsidRDefault="007C440E" w:rsidP="009F50CE">
      <w:pPr>
        <w:rPr>
          <w:rFonts w:asciiTheme="majorBidi" w:hAnsiTheme="majorBidi" w:cstheme="majorBidi"/>
          <w:b/>
          <w:bCs/>
          <w:sz w:val="24"/>
          <w:szCs w:val="24"/>
        </w:rPr>
      </w:pPr>
      <w:r>
        <w:rPr>
          <w:rFonts w:asciiTheme="majorBidi" w:hAnsiTheme="majorBidi" w:cstheme="majorBidi"/>
          <w:b/>
          <w:bCs/>
          <w:sz w:val="24"/>
          <w:szCs w:val="24"/>
        </w:rPr>
        <w:fldChar w:fldCharType="begin"/>
      </w:r>
      <w:r>
        <w:rPr>
          <w:rFonts w:asciiTheme="majorBidi" w:hAnsiTheme="majorBidi" w:cstheme="majorBidi"/>
          <w:b/>
          <w:bCs/>
          <w:sz w:val="24"/>
          <w:szCs w:val="24"/>
        </w:rPr>
        <w:instrText>HYPERLINK "https://www.stimson.org/2024/irans-faustian-2024-elections-statistics-tell-the-story/"</w:instrText>
      </w:r>
      <w:r>
        <w:rPr>
          <w:rFonts w:asciiTheme="majorBidi" w:hAnsiTheme="majorBidi" w:cstheme="majorBidi"/>
          <w:b/>
          <w:bCs/>
          <w:sz w:val="24"/>
          <w:szCs w:val="24"/>
        </w:rPr>
      </w:r>
      <w:r>
        <w:rPr>
          <w:rFonts w:asciiTheme="majorBidi" w:hAnsiTheme="majorBidi" w:cstheme="majorBidi"/>
          <w:b/>
          <w:bCs/>
          <w:sz w:val="24"/>
          <w:szCs w:val="24"/>
        </w:rPr>
        <w:fldChar w:fldCharType="separate"/>
      </w:r>
      <w:r w:rsidR="009F50CE" w:rsidRPr="007C440E">
        <w:rPr>
          <w:rStyle w:val="Hyperlink"/>
          <w:rFonts w:asciiTheme="majorBidi" w:hAnsiTheme="majorBidi" w:cstheme="majorBidi"/>
          <w:b/>
          <w:bCs/>
          <w:sz w:val="24"/>
          <w:szCs w:val="24"/>
        </w:rPr>
        <w:t xml:space="preserve">Iran’s </w:t>
      </w:r>
      <w:r w:rsidR="0022395B" w:rsidRPr="007C440E">
        <w:rPr>
          <w:rStyle w:val="Hyperlink"/>
          <w:rFonts w:asciiTheme="majorBidi" w:hAnsiTheme="majorBidi" w:cstheme="majorBidi"/>
          <w:b/>
          <w:bCs/>
          <w:sz w:val="24"/>
          <w:szCs w:val="24"/>
        </w:rPr>
        <w:t xml:space="preserve">Faustian </w:t>
      </w:r>
      <w:r w:rsidR="00D647BE" w:rsidRPr="007C440E">
        <w:rPr>
          <w:rStyle w:val="Hyperlink"/>
          <w:rFonts w:asciiTheme="majorBidi" w:hAnsiTheme="majorBidi" w:cstheme="majorBidi"/>
          <w:b/>
          <w:bCs/>
          <w:sz w:val="24"/>
          <w:szCs w:val="24"/>
        </w:rPr>
        <w:t xml:space="preserve">2024 </w:t>
      </w:r>
      <w:r w:rsidR="00FD7EAB" w:rsidRPr="007C440E">
        <w:rPr>
          <w:rStyle w:val="Hyperlink"/>
          <w:rFonts w:asciiTheme="majorBidi" w:hAnsiTheme="majorBidi" w:cstheme="majorBidi"/>
          <w:b/>
          <w:bCs/>
          <w:sz w:val="24"/>
          <w:szCs w:val="24"/>
        </w:rPr>
        <w:t>e</w:t>
      </w:r>
      <w:r w:rsidR="009F50CE" w:rsidRPr="007C440E">
        <w:rPr>
          <w:rStyle w:val="Hyperlink"/>
          <w:rFonts w:asciiTheme="majorBidi" w:hAnsiTheme="majorBidi" w:cstheme="majorBidi"/>
          <w:b/>
          <w:bCs/>
          <w:sz w:val="24"/>
          <w:szCs w:val="24"/>
        </w:rPr>
        <w:t>lection</w:t>
      </w:r>
      <w:r w:rsidR="0022395B" w:rsidRPr="007C440E">
        <w:rPr>
          <w:rStyle w:val="Hyperlink"/>
          <w:rFonts w:asciiTheme="majorBidi" w:hAnsiTheme="majorBidi" w:cstheme="majorBidi"/>
          <w:b/>
          <w:bCs/>
          <w:sz w:val="24"/>
          <w:szCs w:val="24"/>
        </w:rPr>
        <w:t>s</w:t>
      </w:r>
      <w:r w:rsidR="008409F2" w:rsidRPr="007C440E">
        <w:rPr>
          <w:rStyle w:val="Hyperlink"/>
          <w:rFonts w:asciiTheme="majorBidi" w:hAnsiTheme="majorBidi" w:cstheme="majorBidi"/>
          <w:b/>
          <w:bCs/>
          <w:sz w:val="24"/>
          <w:szCs w:val="24"/>
        </w:rPr>
        <w:t>: statistics tell the story</w:t>
      </w:r>
      <w:r>
        <w:rPr>
          <w:rFonts w:asciiTheme="majorBidi" w:hAnsiTheme="majorBidi" w:cstheme="majorBidi"/>
          <w:b/>
          <w:bCs/>
          <w:sz w:val="24"/>
          <w:szCs w:val="24"/>
        </w:rPr>
        <w:fldChar w:fldCharType="end"/>
      </w:r>
    </w:p>
    <w:p w14:paraId="694047E1" w14:textId="663D827F" w:rsidR="00FD7EAB" w:rsidRPr="00FD7EAB" w:rsidRDefault="00A362A0" w:rsidP="009F50CE">
      <w:pPr>
        <w:rPr>
          <w:rFonts w:asciiTheme="majorBidi" w:hAnsiTheme="majorBidi" w:cstheme="majorBidi"/>
          <w:i/>
          <w:iCs/>
          <w:sz w:val="24"/>
          <w:szCs w:val="24"/>
        </w:rPr>
      </w:pPr>
      <w:r w:rsidRPr="00FD7EAB">
        <w:rPr>
          <w:rFonts w:asciiTheme="majorBidi" w:hAnsiTheme="majorBidi" w:cstheme="majorBidi"/>
          <w:i/>
          <w:iCs/>
          <w:sz w:val="24"/>
          <w:szCs w:val="24"/>
        </w:rPr>
        <w:t>B</w:t>
      </w:r>
      <w:r w:rsidR="00FD7EAB" w:rsidRPr="00FD7EAB">
        <w:rPr>
          <w:rFonts w:asciiTheme="majorBidi" w:hAnsiTheme="majorBidi" w:cstheme="majorBidi"/>
          <w:i/>
          <w:iCs/>
          <w:sz w:val="24"/>
          <w:szCs w:val="24"/>
        </w:rPr>
        <w:t>y</w:t>
      </w:r>
      <w:r w:rsidRPr="00FD7EAB">
        <w:rPr>
          <w:rFonts w:asciiTheme="majorBidi" w:hAnsiTheme="majorBidi" w:cstheme="majorBidi"/>
          <w:i/>
          <w:iCs/>
          <w:sz w:val="24"/>
          <w:szCs w:val="24"/>
        </w:rPr>
        <w:t xml:space="preserve"> </w:t>
      </w:r>
      <w:r w:rsidR="00FD7EAB" w:rsidRPr="00FD7EAB">
        <w:rPr>
          <w:rFonts w:asciiTheme="majorBidi" w:hAnsiTheme="majorBidi" w:cstheme="majorBidi"/>
          <w:i/>
          <w:iCs/>
          <w:sz w:val="24"/>
          <w:szCs w:val="24"/>
        </w:rPr>
        <w:t>Mehrzad Boroujerdi</w:t>
      </w:r>
    </w:p>
    <w:p w14:paraId="25353606" w14:textId="032883EF" w:rsidR="00891B50" w:rsidRDefault="00891B50" w:rsidP="008409F2">
      <w:pPr>
        <w:rPr>
          <w:rFonts w:asciiTheme="majorBidi" w:hAnsiTheme="majorBidi" w:cstheme="majorBidi"/>
          <w:sz w:val="24"/>
          <w:szCs w:val="24"/>
        </w:rPr>
      </w:pPr>
      <w:r>
        <w:rPr>
          <w:rFonts w:asciiTheme="majorBidi" w:hAnsiTheme="majorBidi" w:cstheme="majorBidi"/>
          <w:sz w:val="24"/>
          <w:szCs w:val="24"/>
        </w:rPr>
        <w:t xml:space="preserve">The late German playwright </w:t>
      </w:r>
      <w:r w:rsidR="00A86210" w:rsidRPr="00A86210">
        <w:rPr>
          <w:rFonts w:asciiTheme="majorBidi" w:hAnsiTheme="majorBidi" w:cstheme="majorBidi"/>
          <w:sz w:val="24"/>
          <w:szCs w:val="24"/>
        </w:rPr>
        <w:t xml:space="preserve">Bertolt Brecht </w:t>
      </w:r>
      <w:r>
        <w:rPr>
          <w:rFonts w:asciiTheme="majorBidi" w:hAnsiTheme="majorBidi" w:cstheme="majorBidi"/>
          <w:sz w:val="24"/>
          <w:szCs w:val="24"/>
        </w:rPr>
        <w:t xml:space="preserve">once </w:t>
      </w:r>
      <w:r w:rsidR="00A86210" w:rsidRPr="00A86210">
        <w:rPr>
          <w:rFonts w:asciiTheme="majorBidi" w:hAnsiTheme="majorBidi" w:cstheme="majorBidi"/>
          <w:sz w:val="24"/>
          <w:szCs w:val="24"/>
        </w:rPr>
        <w:t xml:space="preserve">famously </w:t>
      </w:r>
      <w:r>
        <w:rPr>
          <w:rFonts w:asciiTheme="majorBidi" w:hAnsiTheme="majorBidi" w:cstheme="majorBidi"/>
          <w:sz w:val="24"/>
          <w:szCs w:val="24"/>
        </w:rPr>
        <w:t xml:space="preserve">remarked that East Germany could remedy dissatisfaction with its Communist government by </w:t>
      </w:r>
      <w:r w:rsidR="00A86210" w:rsidRPr="00A86210">
        <w:rPr>
          <w:rFonts w:asciiTheme="majorBidi" w:hAnsiTheme="majorBidi" w:cstheme="majorBidi"/>
          <w:sz w:val="24"/>
          <w:szCs w:val="24"/>
        </w:rPr>
        <w:t xml:space="preserve">electing a new populace. In Iran, </w:t>
      </w:r>
      <w:r>
        <w:rPr>
          <w:rFonts w:asciiTheme="majorBidi" w:hAnsiTheme="majorBidi" w:cstheme="majorBidi"/>
          <w:sz w:val="24"/>
          <w:szCs w:val="24"/>
        </w:rPr>
        <w:t xml:space="preserve">the ruling clerical regime has managed a similar feat by </w:t>
      </w:r>
      <w:hyperlink r:id="rId7" w:history="1">
        <w:r w:rsidRPr="008409F2">
          <w:rPr>
            <w:rStyle w:val="Hyperlink"/>
            <w:rFonts w:asciiTheme="majorBidi" w:hAnsiTheme="majorBidi" w:cstheme="majorBidi"/>
            <w:sz w:val="24"/>
            <w:szCs w:val="24"/>
          </w:rPr>
          <w:t xml:space="preserve">depressing </w:t>
        </w:r>
        <w:r w:rsidR="008409F2" w:rsidRPr="008409F2">
          <w:rPr>
            <w:rStyle w:val="Hyperlink"/>
            <w:rFonts w:asciiTheme="majorBidi" w:hAnsiTheme="majorBidi" w:cstheme="majorBidi"/>
            <w:sz w:val="24"/>
            <w:szCs w:val="24"/>
          </w:rPr>
          <w:t>turnout in the March 1</w:t>
        </w:r>
      </w:hyperlink>
      <w:r w:rsidR="008409F2">
        <w:rPr>
          <w:rFonts w:asciiTheme="majorBidi" w:hAnsiTheme="majorBidi" w:cstheme="majorBidi"/>
          <w:sz w:val="24"/>
          <w:szCs w:val="24"/>
        </w:rPr>
        <w:t xml:space="preserve"> vote to a historic low. </w:t>
      </w:r>
    </w:p>
    <w:p w14:paraId="58668DD8" w14:textId="296FF42C" w:rsidR="00FB61AD" w:rsidRDefault="00A86210" w:rsidP="00FB61AD">
      <w:pPr>
        <w:rPr>
          <w:rFonts w:asciiTheme="majorBidi" w:hAnsiTheme="majorBidi" w:cstheme="majorBidi"/>
          <w:sz w:val="24"/>
          <w:szCs w:val="24"/>
        </w:rPr>
      </w:pPr>
      <w:r w:rsidRPr="00A86210">
        <w:rPr>
          <w:rFonts w:asciiTheme="majorBidi" w:hAnsiTheme="majorBidi" w:cstheme="majorBidi"/>
          <w:sz w:val="24"/>
          <w:szCs w:val="24"/>
        </w:rPr>
        <w:t xml:space="preserve">Against the backdrop of the resonating echoes of the 2022 “Women, Life, Freedom” movement, </w:t>
      </w:r>
      <w:hyperlink r:id="rId8" w:history="1">
        <w:r w:rsidRPr="008409F2">
          <w:rPr>
            <w:rStyle w:val="Hyperlink"/>
            <w:rFonts w:asciiTheme="majorBidi" w:hAnsiTheme="majorBidi" w:cstheme="majorBidi"/>
            <w:sz w:val="24"/>
            <w:szCs w:val="24"/>
          </w:rPr>
          <w:t>resounding calls for electoral boycotts</w:t>
        </w:r>
      </w:hyperlink>
      <w:r w:rsidR="00891B50">
        <w:rPr>
          <w:rFonts w:asciiTheme="majorBidi" w:hAnsiTheme="majorBidi" w:cstheme="majorBidi"/>
          <w:sz w:val="24"/>
          <w:szCs w:val="24"/>
        </w:rPr>
        <w:t>,</w:t>
      </w:r>
      <w:r w:rsidRPr="00A86210">
        <w:rPr>
          <w:rFonts w:asciiTheme="majorBidi" w:hAnsiTheme="majorBidi" w:cstheme="majorBidi"/>
          <w:sz w:val="24"/>
          <w:szCs w:val="24"/>
        </w:rPr>
        <w:t xml:space="preserve"> and apprehension regarding </w:t>
      </w:r>
      <w:r w:rsidR="008409F2">
        <w:rPr>
          <w:rFonts w:asciiTheme="majorBidi" w:hAnsiTheme="majorBidi" w:cstheme="majorBidi"/>
          <w:sz w:val="24"/>
          <w:szCs w:val="24"/>
        </w:rPr>
        <w:t xml:space="preserve">the eventual replacement of </w:t>
      </w:r>
      <w:r w:rsidRPr="00A86210">
        <w:rPr>
          <w:rFonts w:asciiTheme="majorBidi" w:hAnsiTheme="majorBidi" w:cstheme="majorBidi"/>
          <w:sz w:val="24"/>
          <w:szCs w:val="24"/>
        </w:rPr>
        <w:t xml:space="preserve">the </w:t>
      </w:r>
      <w:r w:rsidR="008409F2">
        <w:rPr>
          <w:rFonts w:asciiTheme="majorBidi" w:hAnsiTheme="majorBidi" w:cstheme="majorBidi"/>
          <w:sz w:val="24"/>
          <w:szCs w:val="24"/>
        </w:rPr>
        <w:t>country’s top leader</w:t>
      </w:r>
      <w:r w:rsidR="00891B50">
        <w:rPr>
          <w:rFonts w:asciiTheme="majorBidi" w:hAnsiTheme="majorBidi" w:cstheme="majorBidi"/>
          <w:sz w:val="24"/>
          <w:szCs w:val="24"/>
        </w:rPr>
        <w:t xml:space="preserve">, </w:t>
      </w:r>
      <w:r w:rsidRPr="00A86210">
        <w:rPr>
          <w:rFonts w:asciiTheme="majorBidi" w:hAnsiTheme="majorBidi" w:cstheme="majorBidi"/>
          <w:sz w:val="24"/>
          <w:szCs w:val="24"/>
        </w:rPr>
        <w:t xml:space="preserve">the </w:t>
      </w:r>
      <w:r w:rsidR="000763B9">
        <w:rPr>
          <w:rFonts w:asciiTheme="majorBidi" w:hAnsiTheme="majorBidi" w:cstheme="majorBidi"/>
          <w:sz w:val="24"/>
          <w:szCs w:val="24"/>
        </w:rPr>
        <w:t xml:space="preserve">Islamic Republic </w:t>
      </w:r>
      <w:r w:rsidRPr="00A86210">
        <w:rPr>
          <w:rFonts w:asciiTheme="majorBidi" w:hAnsiTheme="majorBidi" w:cstheme="majorBidi"/>
          <w:sz w:val="24"/>
          <w:szCs w:val="24"/>
        </w:rPr>
        <w:t xml:space="preserve">opted to hold </w:t>
      </w:r>
      <w:r w:rsidR="00891B50">
        <w:rPr>
          <w:rFonts w:asciiTheme="majorBidi" w:hAnsiTheme="majorBidi" w:cstheme="majorBidi"/>
          <w:sz w:val="24"/>
          <w:szCs w:val="24"/>
        </w:rPr>
        <w:t xml:space="preserve">its twelfth parliamentary elections </w:t>
      </w:r>
      <w:r w:rsidRPr="00A86210">
        <w:rPr>
          <w:rFonts w:asciiTheme="majorBidi" w:hAnsiTheme="majorBidi" w:cstheme="majorBidi"/>
          <w:sz w:val="24"/>
          <w:szCs w:val="24"/>
        </w:rPr>
        <w:t xml:space="preserve"> concurrently with</w:t>
      </w:r>
      <w:r w:rsidR="00891B50">
        <w:rPr>
          <w:rFonts w:asciiTheme="majorBidi" w:hAnsiTheme="majorBidi" w:cstheme="majorBidi"/>
          <w:sz w:val="24"/>
          <w:szCs w:val="24"/>
        </w:rPr>
        <w:t xml:space="preserve"> choosing a sixth </w:t>
      </w:r>
      <w:r w:rsidRPr="00A86210">
        <w:rPr>
          <w:rFonts w:asciiTheme="majorBidi" w:hAnsiTheme="majorBidi" w:cstheme="majorBidi"/>
          <w:sz w:val="24"/>
          <w:szCs w:val="24"/>
        </w:rPr>
        <w:t>Assembly of Experts</w:t>
      </w:r>
      <w:r w:rsidR="00891B50">
        <w:rPr>
          <w:rFonts w:asciiTheme="majorBidi" w:hAnsiTheme="majorBidi" w:cstheme="majorBidi"/>
          <w:sz w:val="24"/>
          <w:szCs w:val="24"/>
        </w:rPr>
        <w:t>, the body nominally charged with choosing the successor to Supreme Leader Ayatollah Ali Khamenei. It was evident long in advance that th</w:t>
      </w:r>
      <w:r w:rsidR="008409F2">
        <w:rPr>
          <w:rFonts w:asciiTheme="majorBidi" w:hAnsiTheme="majorBidi" w:cstheme="majorBidi"/>
          <w:sz w:val="24"/>
          <w:szCs w:val="24"/>
        </w:rPr>
        <w:t>e decision</w:t>
      </w:r>
      <w:r w:rsidR="00891B50">
        <w:rPr>
          <w:rFonts w:asciiTheme="majorBidi" w:hAnsiTheme="majorBidi" w:cstheme="majorBidi"/>
          <w:sz w:val="24"/>
          <w:szCs w:val="24"/>
        </w:rPr>
        <w:t xml:space="preserve"> was a Faustian pact, </w:t>
      </w:r>
      <w:r w:rsidRPr="00A86210">
        <w:rPr>
          <w:rFonts w:asciiTheme="majorBidi" w:hAnsiTheme="majorBidi" w:cstheme="majorBidi"/>
          <w:sz w:val="24"/>
          <w:szCs w:val="24"/>
        </w:rPr>
        <w:t>entailing the consolidation of power by conservative forces at the expense of popular legitimacy</w:t>
      </w:r>
      <w:r w:rsidR="00891B50">
        <w:rPr>
          <w:rFonts w:asciiTheme="majorBidi" w:hAnsiTheme="majorBidi" w:cstheme="majorBidi"/>
          <w:sz w:val="24"/>
          <w:szCs w:val="24"/>
        </w:rPr>
        <w:t xml:space="preserve">. Still, </w:t>
      </w:r>
      <w:r w:rsidR="00FB61AD" w:rsidRPr="00A86210">
        <w:rPr>
          <w:rFonts w:asciiTheme="majorBidi" w:hAnsiTheme="majorBidi" w:cstheme="majorBidi"/>
          <w:sz w:val="24"/>
          <w:szCs w:val="24"/>
        </w:rPr>
        <w:t>a plethora of intriguing developments worthy of scrutiny</w:t>
      </w:r>
      <w:r w:rsidR="00FB61AD">
        <w:rPr>
          <w:rFonts w:asciiTheme="majorBidi" w:hAnsiTheme="majorBidi" w:cstheme="majorBidi"/>
          <w:sz w:val="24"/>
          <w:szCs w:val="24"/>
        </w:rPr>
        <w:t xml:space="preserve"> were unveiled</w:t>
      </w:r>
      <w:r w:rsidR="00FB61AD" w:rsidRPr="00A86210">
        <w:rPr>
          <w:rFonts w:asciiTheme="majorBidi" w:hAnsiTheme="majorBidi" w:cstheme="majorBidi"/>
          <w:sz w:val="24"/>
          <w:szCs w:val="24"/>
        </w:rPr>
        <w:t>.</w:t>
      </w:r>
    </w:p>
    <w:p w14:paraId="61C3411B" w14:textId="02B3C3D5" w:rsidR="00236DF3" w:rsidRDefault="00236DF3" w:rsidP="009B7B15">
      <w:pPr>
        <w:rPr>
          <w:rFonts w:asciiTheme="majorBidi" w:hAnsiTheme="majorBidi" w:cstheme="majorBidi"/>
          <w:sz w:val="24"/>
          <w:szCs w:val="24"/>
        </w:rPr>
      </w:pPr>
      <w:r w:rsidRPr="00236DF3">
        <w:rPr>
          <w:rFonts w:asciiTheme="majorBidi" w:hAnsiTheme="majorBidi" w:cstheme="majorBidi"/>
          <w:sz w:val="24"/>
          <w:szCs w:val="24"/>
        </w:rPr>
        <w:t>The initial hurdle centered on voter participation</w:t>
      </w:r>
      <w:r w:rsidR="008409F2">
        <w:rPr>
          <w:rFonts w:asciiTheme="majorBidi" w:hAnsiTheme="majorBidi" w:cstheme="majorBidi"/>
          <w:sz w:val="24"/>
          <w:szCs w:val="24"/>
        </w:rPr>
        <w:t>. Iran has more than</w:t>
      </w:r>
      <w:r w:rsidRPr="00236DF3">
        <w:rPr>
          <w:rFonts w:asciiTheme="majorBidi" w:hAnsiTheme="majorBidi" w:cstheme="majorBidi"/>
          <w:sz w:val="24"/>
          <w:szCs w:val="24"/>
        </w:rPr>
        <w:t xml:space="preserve"> </w:t>
      </w:r>
      <w:hyperlink r:id="rId9" w:history="1">
        <w:r w:rsidRPr="00D91F10">
          <w:rPr>
            <w:rStyle w:val="Hyperlink"/>
            <w:rFonts w:asciiTheme="majorBidi" w:hAnsiTheme="majorBidi" w:cstheme="majorBidi"/>
            <w:sz w:val="24"/>
            <w:szCs w:val="24"/>
          </w:rPr>
          <w:t>60 million</w:t>
        </w:r>
      </w:hyperlink>
      <w:r w:rsidRPr="00236DF3">
        <w:rPr>
          <w:rFonts w:asciiTheme="majorBidi" w:hAnsiTheme="majorBidi" w:cstheme="majorBidi"/>
          <w:sz w:val="24"/>
          <w:szCs w:val="24"/>
        </w:rPr>
        <w:t xml:space="preserve"> eligible voters—40 million more than </w:t>
      </w:r>
      <w:r w:rsidR="008409F2">
        <w:rPr>
          <w:rFonts w:asciiTheme="majorBidi" w:hAnsiTheme="majorBidi" w:cstheme="majorBidi"/>
          <w:sz w:val="24"/>
          <w:szCs w:val="24"/>
        </w:rPr>
        <w:t xml:space="preserve">voted in favor of an Islamic Republic in </w:t>
      </w:r>
      <w:r w:rsidRPr="00236DF3">
        <w:rPr>
          <w:rFonts w:asciiTheme="majorBidi" w:hAnsiTheme="majorBidi" w:cstheme="majorBidi"/>
          <w:sz w:val="24"/>
          <w:szCs w:val="24"/>
        </w:rPr>
        <w:t xml:space="preserve">1979. In a </w:t>
      </w:r>
      <w:r w:rsidR="000763B9">
        <w:rPr>
          <w:rFonts w:asciiTheme="majorBidi" w:hAnsiTheme="majorBidi" w:cstheme="majorBidi"/>
          <w:sz w:val="24"/>
          <w:szCs w:val="24"/>
        </w:rPr>
        <w:t>country</w:t>
      </w:r>
      <w:r w:rsidRPr="00236DF3">
        <w:rPr>
          <w:rFonts w:asciiTheme="majorBidi" w:hAnsiTheme="majorBidi" w:cstheme="majorBidi"/>
          <w:sz w:val="24"/>
          <w:szCs w:val="24"/>
        </w:rPr>
        <w:t xml:space="preserve"> where substantial voter turnout has long been viewed as a validation of revolutionary principles, the challenge lay in mobilizing the 30.9 million eligible men and 30.2 million eligible women to cast their votes. </w:t>
      </w:r>
    </w:p>
    <w:p w14:paraId="228DE1C2" w14:textId="77777777" w:rsidR="0035509A" w:rsidRPr="0035509A" w:rsidRDefault="0035509A" w:rsidP="0035509A">
      <w:pPr>
        <w:jc w:val="center"/>
        <w:rPr>
          <w:rFonts w:asciiTheme="majorBidi" w:hAnsiTheme="majorBidi" w:cstheme="majorBidi"/>
          <w:sz w:val="24"/>
          <w:szCs w:val="24"/>
        </w:rPr>
      </w:pPr>
      <w:r w:rsidRPr="0035509A">
        <w:rPr>
          <w:rFonts w:asciiTheme="majorBidi" w:hAnsiTheme="majorBidi" w:cstheme="majorBidi"/>
          <w:sz w:val="24"/>
          <w:szCs w:val="24"/>
        </w:rPr>
        <w:t>Table 1. Count of Eligible Voters</w:t>
      </w:r>
    </w:p>
    <w:p w14:paraId="78387E35" w14:textId="53855CC3" w:rsidR="006B2859" w:rsidRPr="006B2859" w:rsidRDefault="006B2859" w:rsidP="006B2859">
      <w:pPr>
        <w:rPr>
          <w:rFonts w:asciiTheme="majorBidi" w:hAnsiTheme="majorBidi" w:cstheme="majorBidi"/>
          <w:sz w:val="24"/>
          <w:szCs w:val="24"/>
        </w:rPr>
      </w:pPr>
      <w:r>
        <w:rPr>
          <w:noProof/>
        </w:rPr>
        <w:drawing>
          <wp:inline distT="0" distB="0" distL="0" distR="0" wp14:anchorId="3E447430" wp14:editId="4C832490">
            <wp:extent cx="5943600" cy="3550285"/>
            <wp:effectExtent l="0" t="0" r="0" b="12065"/>
            <wp:docPr id="1034863786" name="Chart 1">
              <a:extLst xmlns:a="http://schemas.openxmlformats.org/drawingml/2006/main">
                <a:ext uri="{FF2B5EF4-FFF2-40B4-BE49-F238E27FC236}">
                  <a16:creationId xmlns:a16="http://schemas.microsoft.com/office/drawing/2014/main" id="{2F79DB11-3C0E-4AA4-9FE6-208CB2F1E4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107BE4" w14:textId="7F2EAAD3" w:rsidR="00A81E75" w:rsidRDefault="00A81E75" w:rsidP="009F50CE">
      <w:pPr>
        <w:rPr>
          <w:rFonts w:asciiTheme="majorBidi" w:hAnsiTheme="majorBidi" w:cstheme="majorBidi"/>
          <w:sz w:val="24"/>
          <w:szCs w:val="24"/>
        </w:rPr>
      </w:pPr>
    </w:p>
    <w:p w14:paraId="2AE0EBAA" w14:textId="337AF87B" w:rsidR="00C358FD" w:rsidRPr="00C358FD" w:rsidRDefault="00C358FD" w:rsidP="00C358FD">
      <w:pPr>
        <w:rPr>
          <w:rFonts w:asciiTheme="majorBidi" w:hAnsiTheme="majorBidi" w:cstheme="majorBidi"/>
          <w:sz w:val="24"/>
          <w:szCs w:val="24"/>
        </w:rPr>
      </w:pPr>
      <w:r w:rsidRPr="00C358FD">
        <w:rPr>
          <w:rFonts w:asciiTheme="majorBidi" w:hAnsiTheme="majorBidi" w:cstheme="majorBidi"/>
          <w:sz w:val="24"/>
          <w:szCs w:val="24"/>
        </w:rPr>
        <w:t xml:space="preserve">Conversely, drawing from past experiences, </w:t>
      </w:r>
      <w:r w:rsidR="008409F2">
        <w:rPr>
          <w:rFonts w:asciiTheme="majorBidi" w:hAnsiTheme="majorBidi" w:cstheme="majorBidi"/>
          <w:sz w:val="24"/>
          <w:szCs w:val="24"/>
        </w:rPr>
        <w:t xml:space="preserve">Iranians are </w:t>
      </w:r>
      <w:r w:rsidRPr="00C358FD">
        <w:rPr>
          <w:rFonts w:asciiTheme="majorBidi" w:hAnsiTheme="majorBidi" w:cstheme="majorBidi"/>
          <w:sz w:val="24"/>
          <w:szCs w:val="24"/>
        </w:rPr>
        <w:t xml:space="preserve">acutely aware that a politician is one who clasps your hand before elections </w:t>
      </w:r>
      <w:r w:rsidR="008409F2">
        <w:rPr>
          <w:rFonts w:asciiTheme="majorBidi" w:hAnsiTheme="majorBidi" w:cstheme="majorBidi"/>
          <w:sz w:val="24"/>
          <w:szCs w:val="24"/>
        </w:rPr>
        <w:t xml:space="preserve">but betrays </w:t>
      </w:r>
      <w:r w:rsidRPr="00C358FD">
        <w:rPr>
          <w:rFonts w:asciiTheme="majorBidi" w:hAnsiTheme="majorBidi" w:cstheme="majorBidi"/>
          <w:sz w:val="24"/>
          <w:szCs w:val="24"/>
        </w:rPr>
        <w:t>your confidence after</w:t>
      </w:r>
      <w:r w:rsidR="008409F2">
        <w:rPr>
          <w:rFonts w:asciiTheme="majorBidi" w:hAnsiTheme="majorBidi" w:cstheme="majorBidi"/>
          <w:sz w:val="24"/>
          <w:szCs w:val="24"/>
        </w:rPr>
        <w:t>wards</w:t>
      </w:r>
      <w:r w:rsidRPr="00C358FD">
        <w:rPr>
          <w:rFonts w:asciiTheme="majorBidi" w:hAnsiTheme="majorBidi" w:cstheme="majorBidi"/>
          <w:sz w:val="24"/>
          <w:szCs w:val="24"/>
        </w:rPr>
        <w:t>. This sentiment was palpable in the participation rate in parliamentary elections, which has been on a downward spiral since 2012.</w:t>
      </w:r>
    </w:p>
    <w:p w14:paraId="5B315326" w14:textId="1CB9934F" w:rsidR="00C358FD" w:rsidRDefault="00C358FD" w:rsidP="00C358FD">
      <w:pPr>
        <w:rPr>
          <w:rFonts w:asciiTheme="majorBidi" w:hAnsiTheme="majorBidi" w:cstheme="majorBidi"/>
          <w:sz w:val="24"/>
          <w:szCs w:val="24"/>
        </w:rPr>
      </w:pPr>
      <w:r w:rsidRPr="00C358FD">
        <w:rPr>
          <w:rFonts w:asciiTheme="majorBidi" w:hAnsiTheme="majorBidi" w:cstheme="majorBidi"/>
          <w:sz w:val="24"/>
          <w:szCs w:val="24"/>
        </w:rPr>
        <w:t>The government reported a participation rate of 41% in the 2024</w:t>
      </w:r>
      <w:r w:rsidR="008409F2">
        <w:rPr>
          <w:rFonts w:asciiTheme="majorBidi" w:hAnsiTheme="majorBidi" w:cstheme="majorBidi"/>
          <w:sz w:val="24"/>
          <w:szCs w:val="24"/>
        </w:rPr>
        <w:t xml:space="preserve"> parliamentary vote</w:t>
      </w:r>
      <w:r w:rsidRPr="00C358FD">
        <w:rPr>
          <w:rFonts w:asciiTheme="majorBidi" w:hAnsiTheme="majorBidi" w:cstheme="majorBidi"/>
          <w:sz w:val="24"/>
          <w:szCs w:val="24"/>
        </w:rPr>
        <w:t xml:space="preserve">, </w:t>
      </w:r>
      <w:r w:rsidR="008409F2">
        <w:rPr>
          <w:rFonts w:asciiTheme="majorBidi" w:hAnsiTheme="majorBidi" w:cstheme="majorBidi"/>
          <w:sz w:val="24"/>
          <w:szCs w:val="24"/>
        </w:rPr>
        <w:t xml:space="preserve">for </w:t>
      </w:r>
      <w:r w:rsidRPr="00C358FD">
        <w:rPr>
          <w:rFonts w:asciiTheme="majorBidi" w:hAnsiTheme="majorBidi" w:cstheme="majorBidi"/>
          <w:sz w:val="24"/>
          <w:szCs w:val="24"/>
        </w:rPr>
        <w:t>estimated 25 million people casting votes. However, due to press and media censorship, as well as the absence of independent observers, it is challenging to verify the authenticity of these statistics, as was the case in previous elections. Nevertheless, even a reported 41% participation rate, inclusive of spoiled ballots, marks the lowest level of participation by the Iranian people in the 12 rounds of parliamentary elections</w:t>
      </w:r>
      <w:r w:rsidR="008409F2">
        <w:rPr>
          <w:rFonts w:asciiTheme="majorBidi" w:hAnsiTheme="majorBidi" w:cstheme="majorBidi"/>
          <w:sz w:val="24"/>
          <w:szCs w:val="24"/>
        </w:rPr>
        <w:t xml:space="preserve"> since 1979</w:t>
      </w:r>
      <w:r w:rsidRPr="00C358FD">
        <w:rPr>
          <w:rFonts w:asciiTheme="majorBidi" w:hAnsiTheme="majorBidi" w:cstheme="majorBidi"/>
          <w:sz w:val="24"/>
          <w:szCs w:val="24"/>
        </w:rPr>
        <w:t>.</w:t>
      </w:r>
    </w:p>
    <w:p w14:paraId="79DBC050" w14:textId="77777777" w:rsidR="00C358FD" w:rsidRPr="00C358FD" w:rsidRDefault="00C358FD" w:rsidP="00C358FD">
      <w:pPr>
        <w:jc w:val="center"/>
        <w:rPr>
          <w:rFonts w:asciiTheme="majorBidi" w:hAnsiTheme="majorBidi" w:cstheme="majorBidi"/>
          <w:sz w:val="24"/>
          <w:szCs w:val="24"/>
        </w:rPr>
      </w:pPr>
      <w:r w:rsidRPr="00C358FD">
        <w:rPr>
          <w:rFonts w:asciiTheme="majorBidi" w:hAnsiTheme="majorBidi" w:cstheme="majorBidi"/>
          <w:sz w:val="24"/>
          <w:szCs w:val="24"/>
        </w:rPr>
        <w:t>Table 2. Parliamentary Election Voter Turnout Rate</w:t>
      </w:r>
    </w:p>
    <w:p w14:paraId="461271C6" w14:textId="04F36E49" w:rsidR="009B7B15" w:rsidRDefault="001E7384" w:rsidP="009F50CE">
      <w:pPr>
        <w:rPr>
          <w:rFonts w:asciiTheme="majorBidi" w:hAnsiTheme="majorBidi" w:cstheme="majorBidi"/>
          <w:sz w:val="24"/>
          <w:szCs w:val="24"/>
        </w:rPr>
      </w:pPr>
      <w:r>
        <w:rPr>
          <w:noProof/>
        </w:rPr>
        <w:drawing>
          <wp:inline distT="0" distB="0" distL="0" distR="0" wp14:anchorId="09DAAA1C" wp14:editId="1E38E7FA">
            <wp:extent cx="5878830" cy="3257550"/>
            <wp:effectExtent l="0" t="0" r="7620" b="0"/>
            <wp:docPr id="908681142" name="Chart 1">
              <a:extLst xmlns:a="http://schemas.openxmlformats.org/drawingml/2006/main">
                <a:ext uri="{FF2B5EF4-FFF2-40B4-BE49-F238E27FC236}">
                  <a16:creationId xmlns:a16="http://schemas.microsoft.com/office/drawing/2014/main" id="{B05CF52A-40ED-4024-A337-B84C779036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57F3F4" w14:textId="0C5B0444" w:rsidR="00D23A9C" w:rsidRDefault="00D23A9C" w:rsidP="00EE25C6">
      <w:pPr>
        <w:rPr>
          <w:rFonts w:asciiTheme="majorBidi" w:hAnsiTheme="majorBidi" w:cstheme="majorBidi"/>
          <w:sz w:val="24"/>
          <w:szCs w:val="24"/>
        </w:rPr>
      </w:pPr>
      <w:r>
        <w:rPr>
          <w:rFonts w:asciiTheme="majorBidi" w:hAnsiTheme="majorBidi" w:cstheme="majorBidi"/>
          <w:sz w:val="24"/>
          <w:szCs w:val="24"/>
        </w:rPr>
        <w:t>T</w:t>
      </w:r>
      <w:r>
        <w:t>o</w:t>
      </w:r>
      <w:r w:rsidRPr="00D23A9C">
        <w:rPr>
          <w:rFonts w:asciiTheme="majorBidi" w:hAnsiTheme="majorBidi" w:cstheme="majorBidi"/>
          <w:sz w:val="24"/>
          <w:szCs w:val="24"/>
        </w:rPr>
        <w:t xml:space="preserve"> combat rising political apathy, the state took proactive measures by directly engaging potential candidates through targeted text message</w:t>
      </w:r>
      <w:r w:rsidR="00354771">
        <w:rPr>
          <w:rFonts w:asciiTheme="majorBidi" w:hAnsiTheme="majorBidi" w:cstheme="majorBidi"/>
          <w:sz w:val="24"/>
          <w:szCs w:val="24"/>
        </w:rPr>
        <w:t>s</w:t>
      </w:r>
      <w:r w:rsidRPr="00D23A9C">
        <w:rPr>
          <w:rFonts w:asciiTheme="majorBidi" w:hAnsiTheme="majorBidi" w:cstheme="majorBidi"/>
          <w:sz w:val="24"/>
          <w:szCs w:val="24"/>
        </w:rPr>
        <w:t xml:space="preserve">, urging them to register for candidacy. Significantly, </w:t>
      </w:r>
      <w:r w:rsidR="000763B9">
        <w:rPr>
          <w:rFonts w:asciiTheme="majorBidi" w:hAnsiTheme="majorBidi" w:cstheme="majorBidi"/>
          <w:sz w:val="24"/>
          <w:szCs w:val="24"/>
        </w:rPr>
        <w:t>election officials</w:t>
      </w:r>
      <w:r w:rsidRPr="00D23A9C">
        <w:rPr>
          <w:rFonts w:asciiTheme="majorBidi" w:hAnsiTheme="majorBidi" w:cstheme="majorBidi"/>
          <w:sz w:val="24"/>
          <w:szCs w:val="24"/>
        </w:rPr>
        <w:t xml:space="preserve"> introduced a compulsory pre-registration protocol for candidates, a historical first. This endeavor bore fruit,</w:t>
      </w:r>
      <w:r w:rsidR="00354771">
        <w:rPr>
          <w:rFonts w:asciiTheme="majorBidi" w:hAnsiTheme="majorBidi" w:cstheme="majorBidi"/>
          <w:sz w:val="24"/>
          <w:szCs w:val="24"/>
        </w:rPr>
        <w:t xml:space="preserve"> and </w:t>
      </w:r>
      <w:r w:rsidRPr="00D23A9C">
        <w:rPr>
          <w:rFonts w:asciiTheme="majorBidi" w:hAnsiTheme="majorBidi" w:cstheme="majorBidi"/>
          <w:sz w:val="24"/>
          <w:szCs w:val="24"/>
        </w:rPr>
        <w:t xml:space="preserve">an unprecedented </w:t>
      </w:r>
      <w:hyperlink r:id="rId12" w:history="1">
        <w:r w:rsidRPr="00957B3A">
          <w:rPr>
            <w:rStyle w:val="Hyperlink"/>
            <w:rFonts w:asciiTheme="majorBidi" w:hAnsiTheme="majorBidi" w:cstheme="majorBidi"/>
            <w:sz w:val="24"/>
            <w:szCs w:val="24"/>
          </w:rPr>
          <w:t>24,829</w:t>
        </w:r>
      </w:hyperlink>
      <w:r w:rsidRPr="00D23A9C">
        <w:rPr>
          <w:rFonts w:asciiTheme="majorBidi" w:hAnsiTheme="majorBidi" w:cstheme="majorBidi"/>
          <w:sz w:val="24"/>
          <w:szCs w:val="24"/>
        </w:rPr>
        <w:t xml:space="preserve"> individuals, including nearly 3,000 female candidates came forward to </w:t>
      </w:r>
      <w:r w:rsidR="00354771">
        <w:rPr>
          <w:rFonts w:asciiTheme="majorBidi" w:hAnsiTheme="majorBidi" w:cstheme="majorBidi"/>
          <w:sz w:val="24"/>
          <w:szCs w:val="24"/>
        </w:rPr>
        <w:t xml:space="preserve">compete </w:t>
      </w:r>
      <w:r w:rsidRPr="00D23A9C">
        <w:rPr>
          <w:rFonts w:asciiTheme="majorBidi" w:hAnsiTheme="majorBidi" w:cstheme="majorBidi"/>
          <w:sz w:val="24"/>
          <w:szCs w:val="24"/>
        </w:rPr>
        <w:t>for the 290 available seats.</w:t>
      </w:r>
    </w:p>
    <w:p w14:paraId="36253EE9" w14:textId="09BD67CF" w:rsidR="00C20A90" w:rsidRPr="00C20A90" w:rsidRDefault="00C20A90" w:rsidP="00C20A90">
      <w:pPr>
        <w:jc w:val="center"/>
        <w:rPr>
          <w:rFonts w:asciiTheme="majorBidi" w:hAnsiTheme="majorBidi" w:cstheme="majorBidi"/>
          <w:sz w:val="24"/>
          <w:szCs w:val="24"/>
        </w:rPr>
      </w:pPr>
      <w:r w:rsidRPr="00C20A90">
        <w:rPr>
          <w:rFonts w:asciiTheme="majorBidi" w:hAnsiTheme="majorBidi" w:cstheme="majorBidi"/>
          <w:sz w:val="24"/>
          <w:szCs w:val="24"/>
        </w:rPr>
        <w:t xml:space="preserve">Table </w:t>
      </w:r>
      <w:r w:rsidR="00EE25C6">
        <w:rPr>
          <w:rFonts w:asciiTheme="majorBidi" w:hAnsiTheme="majorBidi" w:cstheme="majorBidi"/>
          <w:sz w:val="24"/>
          <w:szCs w:val="24"/>
        </w:rPr>
        <w:t>3</w:t>
      </w:r>
      <w:r w:rsidRPr="00C20A90">
        <w:rPr>
          <w:rFonts w:asciiTheme="majorBidi" w:hAnsiTheme="majorBidi" w:cstheme="majorBidi"/>
          <w:sz w:val="24"/>
          <w:szCs w:val="24"/>
        </w:rPr>
        <w:t xml:space="preserve">. </w:t>
      </w:r>
      <w:r w:rsidR="00C60EC0" w:rsidRPr="00C60EC0">
        <w:rPr>
          <w:rFonts w:asciiTheme="majorBidi" w:hAnsiTheme="majorBidi" w:cstheme="majorBidi"/>
          <w:sz w:val="24"/>
          <w:szCs w:val="24"/>
        </w:rPr>
        <w:t>Comparing Registered Candidates to Allowable Contestants in Majles Elections</w:t>
      </w:r>
    </w:p>
    <w:p w14:paraId="3E5E24CA" w14:textId="04A0B353" w:rsidR="00C20A90" w:rsidRPr="00A86210" w:rsidRDefault="00C20A90" w:rsidP="009F50CE">
      <w:pPr>
        <w:rPr>
          <w:rFonts w:asciiTheme="majorBidi" w:hAnsiTheme="majorBidi" w:cstheme="majorBidi"/>
          <w:sz w:val="24"/>
          <w:szCs w:val="24"/>
        </w:rPr>
      </w:pPr>
      <w:r>
        <w:rPr>
          <w:noProof/>
        </w:rPr>
        <w:lastRenderedPageBreak/>
        <w:drawing>
          <wp:inline distT="0" distB="0" distL="0" distR="0" wp14:anchorId="240C2D07" wp14:editId="491C0A41">
            <wp:extent cx="5943600" cy="2628900"/>
            <wp:effectExtent l="0" t="0" r="0" b="0"/>
            <wp:docPr id="983006527" name="Chart 1">
              <a:extLst xmlns:a="http://schemas.openxmlformats.org/drawingml/2006/main">
                <a:ext uri="{FF2B5EF4-FFF2-40B4-BE49-F238E27FC236}">
                  <a16:creationId xmlns:a16="http://schemas.microsoft.com/office/drawing/2014/main" id="{00000000-0008-0000-0000-00000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F01D77" w14:textId="0202F140" w:rsidR="004C355F" w:rsidRPr="004C355F" w:rsidRDefault="00354771" w:rsidP="004C355F">
      <w:pPr>
        <w:rPr>
          <w:rFonts w:asciiTheme="majorBidi" w:hAnsiTheme="majorBidi" w:cstheme="majorBidi"/>
          <w:sz w:val="24"/>
          <w:szCs w:val="24"/>
        </w:rPr>
      </w:pPr>
      <w:r>
        <w:rPr>
          <w:rFonts w:asciiTheme="majorBidi" w:hAnsiTheme="majorBidi" w:cstheme="majorBidi"/>
          <w:sz w:val="24"/>
          <w:szCs w:val="24"/>
        </w:rPr>
        <w:t>The Guardian Council, a regime body controlled by the Supreme Leader that is charged with vetting candidates</w:t>
      </w:r>
      <w:r w:rsidR="00434753">
        <w:rPr>
          <w:rFonts w:asciiTheme="majorBidi" w:hAnsiTheme="majorBidi" w:cstheme="majorBidi"/>
          <w:sz w:val="24"/>
          <w:szCs w:val="24"/>
        </w:rPr>
        <w:t xml:space="preserve"> for elected office</w:t>
      </w:r>
      <w:r>
        <w:rPr>
          <w:rFonts w:asciiTheme="majorBidi" w:hAnsiTheme="majorBidi" w:cstheme="majorBidi"/>
          <w:sz w:val="24"/>
          <w:szCs w:val="24"/>
        </w:rPr>
        <w:t xml:space="preserve">, approved </w:t>
      </w:r>
      <w:hyperlink r:id="rId14" w:history="1">
        <w:r w:rsidR="004C355F" w:rsidRPr="005E14C9">
          <w:rPr>
            <w:rStyle w:val="Hyperlink"/>
            <w:rFonts w:asciiTheme="majorBidi" w:hAnsiTheme="majorBidi" w:cstheme="majorBidi"/>
            <w:sz w:val="24"/>
            <w:szCs w:val="24"/>
          </w:rPr>
          <w:t>15,200</w:t>
        </w:r>
      </w:hyperlink>
      <w:r w:rsidR="004C355F" w:rsidRPr="00A86210">
        <w:rPr>
          <w:rFonts w:asciiTheme="majorBidi" w:hAnsiTheme="majorBidi" w:cstheme="majorBidi"/>
          <w:sz w:val="24"/>
          <w:szCs w:val="24"/>
        </w:rPr>
        <w:t xml:space="preserve"> </w:t>
      </w:r>
      <w:r w:rsidR="004C355F" w:rsidRPr="004C355F">
        <w:rPr>
          <w:rFonts w:asciiTheme="majorBidi" w:hAnsiTheme="majorBidi" w:cstheme="majorBidi"/>
          <w:sz w:val="24"/>
          <w:szCs w:val="24"/>
        </w:rPr>
        <w:t>c</w:t>
      </w:r>
      <w:r>
        <w:rPr>
          <w:rFonts w:asciiTheme="majorBidi" w:hAnsiTheme="majorBidi" w:cstheme="majorBidi"/>
          <w:sz w:val="24"/>
          <w:szCs w:val="24"/>
        </w:rPr>
        <w:t xml:space="preserve">ontenders, </w:t>
      </w:r>
      <w:r w:rsidR="004C355F" w:rsidRPr="004C355F">
        <w:rPr>
          <w:rFonts w:asciiTheme="majorBidi" w:hAnsiTheme="majorBidi" w:cstheme="majorBidi"/>
          <w:sz w:val="24"/>
          <w:szCs w:val="24"/>
        </w:rPr>
        <w:t xml:space="preserve">the most favorable candidates-to-seats ratio to date. However, this 61% approval rate warrants careful consideration. Even </w:t>
      </w:r>
      <w:r>
        <w:rPr>
          <w:rFonts w:asciiTheme="majorBidi" w:hAnsiTheme="majorBidi" w:cstheme="majorBidi"/>
          <w:sz w:val="24"/>
          <w:szCs w:val="24"/>
        </w:rPr>
        <w:t xml:space="preserve">if one accepts </w:t>
      </w:r>
      <w:r w:rsidR="004C355F" w:rsidRPr="004C355F">
        <w:rPr>
          <w:rFonts w:asciiTheme="majorBidi" w:hAnsiTheme="majorBidi" w:cstheme="majorBidi"/>
          <w:sz w:val="24"/>
          <w:szCs w:val="24"/>
        </w:rPr>
        <w:t>government statistics at face value, the voter turnout to eligible candidate</w:t>
      </w:r>
      <w:r>
        <w:rPr>
          <w:rFonts w:asciiTheme="majorBidi" w:hAnsiTheme="majorBidi" w:cstheme="majorBidi"/>
          <w:sz w:val="24"/>
          <w:szCs w:val="24"/>
        </w:rPr>
        <w:t xml:space="preserve"> ratio</w:t>
      </w:r>
      <w:r w:rsidR="004C355F" w:rsidRPr="004C355F">
        <w:rPr>
          <w:rFonts w:asciiTheme="majorBidi" w:hAnsiTheme="majorBidi" w:cstheme="majorBidi"/>
          <w:sz w:val="24"/>
          <w:szCs w:val="24"/>
        </w:rPr>
        <w:t xml:space="preserve"> plummeted below 43%, a historic nadir</w:t>
      </w:r>
      <w:r>
        <w:rPr>
          <w:rFonts w:asciiTheme="majorBidi" w:hAnsiTheme="majorBidi" w:cstheme="majorBidi"/>
          <w:sz w:val="24"/>
          <w:szCs w:val="24"/>
        </w:rPr>
        <w:t xml:space="preserve">. </w:t>
      </w:r>
      <w:r w:rsidR="004C355F" w:rsidRPr="004C355F">
        <w:rPr>
          <w:rFonts w:asciiTheme="majorBidi" w:hAnsiTheme="majorBidi" w:cstheme="majorBidi"/>
          <w:sz w:val="24"/>
          <w:szCs w:val="24"/>
        </w:rPr>
        <w:t>This contrasts with 58%</w:t>
      </w:r>
      <w:r w:rsidR="00434753">
        <w:rPr>
          <w:rFonts w:asciiTheme="majorBidi" w:hAnsiTheme="majorBidi" w:cstheme="majorBidi"/>
          <w:sz w:val="24"/>
          <w:szCs w:val="24"/>
        </w:rPr>
        <w:t>, the average</w:t>
      </w:r>
      <w:r w:rsidR="004C355F" w:rsidRPr="004C355F">
        <w:rPr>
          <w:rFonts w:asciiTheme="majorBidi" w:hAnsiTheme="majorBidi" w:cstheme="majorBidi"/>
          <w:sz w:val="24"/>
          <w:szCs w:val="24"/>
        </w:rPr>
        <w:t xml:space="preserve"> observed over the past eleven election cycles.</w:t>
      </w:r>
    </w:p>
    <w:p w14:paraId="28186E45" w14:textId="36EF0A78" w:rsidR="003D1160" w:rsidRDefault="00434753" w:rsidP="003D1160">
      <w:pPr>
        <w:rPr>
          <w:rFonts w:asciiTheme="majorBidi" w:hAnsiTheme="majorBidi" w:cstheme="majorBidi"/>
          <w:sz w:val="24"/>
          <w:szCs w:val="24"/>
        </w:rPr>
      </w:pPr>
      <w:r>
        <w:rPr>
          <w:rFonts w:asciiTheme="majorBidi" w:hAnsiTheme="majorBidi" w:cstheme="majorBidi"/>
          <w:sz w:val="24"/>
          <w:szCs w:val="24"/>
        </w:rPr>
        <w:t>D</w:t>
      </w:r>
      <w:r w:rsidR="004C355F" w:rsidRPr="004C355F">
        <w:rPr>
          <w:rFonts w:asciiTheme="majorBidi" w:hAnsiTheme="majorBidi" w:cstheme="majorBidi"/>
          <w:sz w:val="24"/>
          <w:szCs w:val="24"/>
        </w:rPr>
        <w:t xml:space="preserve">isqualifications notably impacted prominent incumbents, including </w:t>
      </w:r>
      <w:hyperlink r:id="rId15" w:history="1">
        <w:r w:rsidR="004C355F" w:rsidRPr="00083160">
          <w:rPr>
            <w:rStyle w:val="Hyperlink"/>
            <w:rFonts w:asciiTheme="majorBidi" w:hAnsiTheme="majorBidi" w:cstheme="majorBidi"/>
            <w:sz w:val="24"/>
            <w:szCs w:val="24"/>
          </w:rPr>
          <w:t>26</w:t>
        </w:r>
      </w:hyperlink>
      <w:r w:rsidR="004C355F" w:rsidRPr="00A86210">
        <w:rPr>
          <w:rFonts w:asciiTheme="majorBidi" w:hAnsiTheme="majorBidi" w:cstheme="majorBidi"/>
          <w:sz w:val="24"/>
          <w:szCs w:val="24"/>
        </w:rPr>
        <w:t xml:space="preserve"> </w:t>
      </w:r>
      <w:r w:rsidR="004C355F" w:rsidRPr="004C355F">
        <w:rPr>
          <w:rFonts w:asciiTheme="majorBidi" w:hAnsiTheme="majorBidi" w:cstheme="majorBidi"/>
          <w:sz w:val="24"/>
          <w:szCs w:val="24"/>
        </w:rPr>
        <w:t>sitting members of the 11</w:t>
      </w:r>
      <w:r w:rsidR="004C355F" w:rsidRPr="00434753">
        <w:rPr>
          <w:rFonts w:asciiTheme="majorBidi" w:hAnsiTheme="majorBidi" w:cstheme="majorBidi"/>
          <w:sz w:val="24"/>
          <w:szCs w:val="24"/>
          <w:vertAlign w:val="superscript"/>
        </w:rPr>
        <w:t>th</w:t>
      </w:r>
      <w:r>
        <w:rPr>
          <w:rFonts w:asciiTheme="majorBidi" w:hAnsiTheme="majorBidi" w:cstheme="majorBidi"/>
          <w:sz w:val="24"/>
          <w:szCs w:val="24"/>
        </w:rPr>
        <w:t xml:space="preserve"> parliament</w:t>
      </w:r>
      <w:r w:rsidR="004C355F" w:rsidRPr="004C355F">
        <w:rPr>
          <w:rFonts w:asciiTheme="majorBidi" w:hAnsiTheme="majorBidi" w:cstheme="majorBidi"/>
          <w:sz w:val="24"/>
          <w:szCs w:val="24"/>
        </w:rPr>
        <w:t xml:space="preserve">. Moreover, the majority of those approved exhibited conservative leanings. A published list of purportedly moderate candidates featured </w:t>
      </w:r>
      <w:hyperlink r:id="rId16" w:history="1">
        <w:r w:rsidR="004C355F" w:rsidRPr="00221855">
          <w:rPr>
            <w:rStyle w:val="Hyperlink"/>
            <w:rFonts w:asciiTheme="majorBidi" w:hAnsiTheme="majorBidi" w:cstheme="majorBidi"/>
            <w:sz w:val="24"/>
            <w:szCs w:val="24"/>
          </w:rPr>
          <w:t>165</w:t>
        </w:r>
      </w:hyperlink>
      <w:r w:rsidR="004C355F" w:rsidRPr="004C355F">
        <w:rPr>
          <w:rFonts w:asciiTheme="majorBidi" w:hAnsiTheme="majorBidi" w:cstheme="majorBidi"/>
          <w:sz w:val="24"/>
          <w:szCs w:val="24"/>
        </w:rPr>
        <w:t xml:space="preserve"> individuals, of whom only </w:t>
      </w:r>
      <w:hyperlink r:id="rId17" w:history="1">
        <w:r w:rsidR="004C355F" w:rsidRPr="00482495">
          <w:rPr>
            <w:rStyle w:val="Hyperlink"/>
            <w:rFonts w:asciiTheme="majorBidi" w:hAnsiTheme="majorBidi" w:cstheme="majorBidi"/>
            <w:sz w:val="24"/>
            <w:szCs w:val="24"/>
          </w:rPr>
          <w:t>40</w:t>
        </w:r>
      </w:hyperlink>
      <w:r w:rsidR="004C355F" w:rsidRPr="004C355F">
        <w:rPr>
          <w:rFonts w:asciiTheme="majorBidi" w:hAnsiTheme="majorBidi" w:cstheme="majorBidi"/>
          <w:sz w:val="24"/>
          <w:szCs w:val="24"/>
        </w:rPr>
        <w:t xml:space="preserve"> secured victory in the initial round, with 4 advancing to runoff elections.</w:t>
      </w:r>
      <w:r w:rsidR="003D1160">
        <w:rPr>
          <w:rFonts w:asciiTheme="majorBidi" w:hAnsiTheme="majorBidi" w:cstheme="majorBidi"/>
          <w:sz w:val="24"/>
          <w:szCs w:val="24"/>
        </w:rPr>
        <w:t xml:space="preserve"> </w:t>
      </w:r>
      <w:r w:rsidR="003D1160" w:rsidRPr="003D1160">
        <w:rPr>
          <w:rFonts w:asciiTheme="majorBidi" w:hAnsiTheme="majorBidi" w:cstheme="majorBidi"/>
          <w:sz w:val="24"/>
          <w:szCs w:val="24"/>
        </w:rPr>
        <w:t>The decision of former President Seyyed Mohammad Khatami to abstain from voting symbolized the prevailing disenchantment within many segments of the reformist camp, which feel marginalized and neglected.</w:t>
      </w:r>
      <w:r w:rsidR="003D1160">
        <w:rPr>
          <w:rFonts w:asciiTheme="majorBidi" w:hAnsiTheme="majorBidi" w:cstheme="majorBidi"/>
          <w:sz w:val="24"/>
          <w:szCs w:val="24"/>
        </w:rPr>
        <w:t xml:space="preserve"> </w:t>
      </w:r>
    </w:p>
    <w:p w14:paraId="5CF51192" w14:textId="4F987DA1" w:rsidR="00DA7865" w:rsidRPr="00DA7865" w:rsidRDefault="00DA7865" w:rsidP="00572AD8">
      <w:pPr>
        <w:jc w:val="center"/>
        <w:rPr>
          <w:rFonts w:asciiTheme="majorBidi" w:hAnsiTheme="majorBidi" w:cstheme="majorBidi"/>
          <w:sz w:val="24"/>
          <w:szCs w:val="24"/>
        </w:rPr>
      </w:pPr>
      <w:r w:rsidRPr="00DA7865">
        <w:rPr>
          <w:rFonts w:asciiTheme="majorBidi" w:hAnsiTheme="majorBidi" w:cstheme="majorBidi"/>
          <w:sz w:val="24"/>
          <w:szCs w:val="24"/>
        </w:rPr>
        <w:t>Table 4. Comparing Voter Turnout Rate with Candidate Approval Rate</w:t>
      </w:r>
      <w:r>
        <w:rPr>
          <w:rFonts w:asciiTheme="majorBidi" w:hAnsiTheme="majorBidi" w:cstheme="majorBidi"/>
          <w:sz w:val="24"/>
          <w:szCs w:val="24"/>
        </w:rPr>
        <w:t xml:space="preserve"> in Majles Elections</w:t>
      </w:r>
    </w:p>
    <w:p w14:paraId="0332DC60" w14:textId="1B83FAC7" w:rsidR="00CB0B80" w:rsidRDefault="00DA7865" w:rsidP="002C2EEF">
      <w:pPr>
        <w:rPr>
          <w:rFonts w:asciiTheme="majorBidi" w:hAnsiTheme="majorBidi" w:cstheme="majorBidi"/>
          <w:sz w:val="24"/>
          <w:szCs w:val="24"/>
        </w:rPr>
      </w:pPr>
      <w:r>
        <w:rPr>
          <w:noProof/>
        </w:rPr>
        <w:lastRenderedPageBreak/>
        <w:drawing>
          <wp:inline distT="0" distB="0" distL="0" distR="0" wp14:anchorId="4F9ED854" wp14:editId="2E2FCC48">
            <wp:extent cx="5943600" cy="2646485"/>
            <wp:effectExtent l="0" t="0" r="0" b="1905"/>
            <wp:docPr id="1116426452" name="Chart 1">
              <a:extLst xmlns:a="http://schemas.openxmlformats.org/drawingml/2006/main">
                <a:ext uri="{FF2B5EF4-FFF2-40B4-BE49-F238E27FC236}">
                  <a16:creationId xmlns:a16="http://schemas.microsoft.com/office/drawing/2014/main" id="{00000000-0008-0000-0000-00000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0C35D2" w14:textId="5836F0F4" w:rsidR="00475052" w:rsidRDefault="00475052" w:rsidP="00572AD8">
      <w:pPr>
        <w:rPr>
          <w:rFonts w:asciiTheme="majorBidi" w:hAnsiTheme="majorBidi" w:cstheme="majorBidi"/>
          <w:color w:val="0D0D0D"/>
          <w:sz w:val="24"/>
          <w:szCs w:val="24"/>
          <w:shd w:val="clear" w:color="auto" w:fill="FFFFFF"/>
        </w:rPr>
      </w:pPr>
      <w:r w:rsidRPr="00475052">
        <w:rPr>
          <w:rFonts w:asciiTheme="majorBidi" w:hAnsiTheme="majorBidi" w:cstheme="majorBidi"/>
          <w:color w:val="0D0D0D"/>
          <w:sz w:val="24"/>
          <w:szCs w:val="24"/>
          <w:shd w:val="clear" w:color="auto" w:fill="FFFFFF"/>
        </w:rPr>
        <w:t>Reflecting voting patterns observed in recent elections, the highest participation rates (ranging from 55 to 64</w:t>
      </w:r>
      <w:r w:rsidR="00434753">
        <w:rPr>
          <w:rFonts w:asciiTheme="majorBidi" w:hAnsiTheme="majorBidi" w:cstheme="majorBidi"/>
          <w:color w:val="0D0D0D"/>
          <w:sz w:val="24"/>
          <w:szCs w:val="24"/>
          <w:shd w:val="clear" w:color="auto" w:fill="FFFFFF"/>
        </w:rPr>
        <w:t>%</w:t>
      </w:r>
      <w:r w:rsidRPr="00475052">
        <w:rPr>
          <w:rFonts w:asciiTheme="majorBidi" w:hAnsiTheme="majorBidi" w:cstheme="majorBidi"/>
          <w:color w:val="0D0D0D"/>
          <w:sz w:val="24"/>
          <w:szCs w:val="24"/>
          <w:shd w:val="clear" w:color="auto" w:fill="FFFFFF"/>
        </w:rPr>
        <w:t xml:space="preserve">) occurred in less populated and less developed provinces </w:t>
      </w:r>
      <w:r w:rsidR="00434753">
        <w:rPr>
          <w:rFonts w:asciiTheme="majorBidi" w:hAnsiTheme="majorBidi" w:cstheme="majorBidi"/>
          <w:color w:val="0D0D0D"/>
          <w:sz w:val="24"/>
          <w:szCs w:val="24"/>
          <w:shd w:val="clear" w:color="auto" w:fill="FFFFFF"/>
        </w:rPr>
        <w:t>such as</w:t>
      </w:r>
      <w:r w:rsidRPr="00475052">
        <w:rPr>
          <w:rFonts w:asciiTheme="majorBidi" w:hAnsiTheme="majorBidi" w:cstheme="majorBidi"/>
          <w:color w:val="0D0D0D"/>
          <w:sz w:val="24"/>
          <w:szCs w:val="24"/>
          <w:shd w:val="clear" w:color="auto" w:fill="FFFFFF"/>
        </w:rPr>
        <w:t xml:space="preserve"> </w:t>
      </w:r>
      <w:proofErr w:type="spellStart"/>
      <w:r w:rsidRPr="00475052">
        <w:rPr>
          <w:rFonts w:asciiTheme="majorBidi" w:hAnsiTheme="majorBidi" w:cstheme="majorBidi"/>
          <w:color w:val="0D0D0D"/>
          <w:sz w:val="24"/>
          <w:szCs w:val="24"/>
          <w:shd w:val="clear" w:color="auto" w:fill="FFFFFF"/>
        </w:rPr>
        <w:t>Kohkiluyeh</w:t>
      </w:r>
      <w:proofErr w:type="spellEnd"/>
      <w:r w:rsidRPr="00475052">
        <w:rPr>
          <w:rFonts w:asciiTheme="majorBidi" w:hAnsiTheme="majorBidi" w:cstheme="majorBidi"/>
          <w:color w:val="0D0D0D"/>
          <w:sz w:val="24"/>
          <w:szCs w:val="24"/>
          <w:shd w:val="clear" w:color="auto" w:fill="FFFFFF"/>
        </w:rPr>
        <w:t xml:space="preserve"> </w:t>
      </w:r>
      <w:proofErr w:type="spellStart"/>
      <w:r w:rsidRPr="00475052">
        <w:rPr>
          <w:rFonts w:asciiTheme="majorBidi" w:hAnsiTheme="majorBidi" w:cstheme="majorBidi"/>
          <w:color w:val="0D0D0D"/>
          <w:sz w:val="24"/>
          <w:szCs w:val="24"/>
          <w:shd w:val="clear" w:color="auto" w:fill="FFFFFF"/>
        </w:rPr>
        <w:t>va</w:t>
      </w:r>
      <w:proofErr w:type="spellEnd"/>
      <w:r w:rsidRPr="00475052">
        <w:rPr>
          <w:rFonts w:asciiTheme="majorBidi" w:hAnsiTheme="majorBidi" w:cstheme="majorBidi"/>
          <w:color w:val="0D0D0D"/>
          <w:sz w:val="24"/>
          <w:szCs w:val="24"/>
          <w:shd w:val="clear" w:color="auto" w:fill="FFFFFF"/>
        </w:rPr>
        <w:t xml:space="preserve"> Boyer-Ahmad, South Khorasan, </w:t>
      </w:r>
      <w:proofErr w:type="spellStart"/>
      <w:r w:rsidRPr="00475052">
        <w:rPr>
          <w:rFonts w:asciiTheme="majorBidi" w:hAnsiTheme="majorBidi" w:cstheme="majorBidi"/>
          <w:color w:val="0D0D0D"/>
          <w:sz w:val="24"/>
          <w:szCs w:val="24"/>
          <w:shd w:val="clear" w:color="auto" w:fill="FFFFFF"/>
        </w:rPr>
        <w:t>Hormozgan</w:t>
      </w:r>
      <w:proofErr w:type="spellEnd"/>
      <w:r w:rsidRPr="00475052">
        <w:rPr>
          <w:rFonts w:asciiTheme="majorBidi" w:hAnsiTheme="majorBidi" w:cstheme="majorBidi"/>
          <w:color w:val="0D0D0D"/>
          <w:sz w:val="24"/>
          <w:szCs w:val="24"/>
          <w:shd w:val="clear" w:color="auto" w:fill="FFFFFF"/>
        </w:rPr>
        <w:t>, and North Khorasan. In contrast, heavily populated provinces such as Tehran, Isfahan, East Azerbaijan, and Khuzestan reported participation rates ranging from 34 to 43 percent, according to official statistics.</w:t>
      </w:r>
    </w:p>
    <w:p w14:paraId="5C424A1E" w14:textId="72FC4EEF" w:rsidR="00625BB5" w:rsidRDefault="00C74A38" w:rsidP="00572AD8">
      <w:pPr>
        <w:rPr>
          <w:rFonts w:asciiTheme="majorBidi" w:hAnsiTheme="majorBidi" w:cstheme="majorBidi"/>
          <w:sz w:val="24"/>
          <w:szCs w:val="24"/>
        </w:rPr>
      </w:pPr>
      <w:r w:rsidRPr="00C74A38">
        <w:rPr>
          <w:rFonts w:asciiTheme="majorBidi" w:hAnsiTheme="majorBidi" w:cstheme="majorBidi"/>
          <w:color w:val="0D0D0D"/>
          <w:sz w:val="24"/>
          <w:szCs w:val="24"/>
          <w:shd w:val="clear" w:color="auto" w:fill="FFFFFF"/>
        </w:rPr>
        <w:t xml:space="preserve">Tehran, boasting over 10 million eligible voters and accounting for 13% of all </w:t>
      </w:r>
      <w:r w:rsidR="00434753">
        <w:rPr>
          <w:rFonts w:asciiTheme="majorBidi" w:hAnsiTheme="majorBidi" w:cstheme="majorBidi"/>
          <w:color w:val="0D0D0D"/>
          <w:sz w:val="24"/>
          <w:szCs w:val="24"/>
          <w:shd w:val="clear" w:color="auto" w:fill="FFFFFF"/>
        </w:rPr>
        <w:t>parliament</w:t>
      </w:r>
      <w:r w:rsidRPr="00C74A38">
        <w:rPr>
          <w:rFonts w:asciiTheme="majorBidi" w:hAnsiTheme="majorBidi" w:cstheme="majorBidi"/>
          <w:color w:val="0D0D0D"/>
          <w:sz w:val="24"/>
          <w:szCs w:val="24"/>
          <w:shd w:val="clear" w:color="auto" w:fill="FFFFFF"/>
        </w:rPr>
        <w:t xml:space="preserve"> seats, witnessed a significant development as </w:t>
      </w:r>
      <w:r w:rsidR="00434753">
        <w:rPr>
          <w:rFonts w:asciiTheme="majorBidi" w:hAnsiTheme="majorBidi" w:cstheme="majorBidi"/>
          <w:color w:val="0D0D0D"/>
          <w:sz w:val="24"/>
          <w:szCs w:val="24"/>
          <w:shd w:val="clear" w:color="auto" w:fill="FFFFFF"/>
        </w:rPr>
        <w:t xml:space="preserve">an outspoken conservative and </w:t>
      </w:r>
      <w:hyperlink r:id="rId19" w:history="1">
        <w:r w:rsidR="00434753" w:rsidRPr="00434753">
          <w:rPr>
            <w:rStyle w:val="Hyperlink"/>
            <w:rFonts w:asciiTheme="majorBidi" w:hAnsiTheme="majorBidi" w:cstheme="majorBidi"/>
            <w:sz w:val="24"/>
            <w:szCs w:val="24"/>
            <w:shd w:val="clear" w:color="auto" w:fill="FFFFFF"/>
          </w:rPr>
          <w:t>conspiracy monger</w:t>
        </w:r>
      </w:hyperlink>
      <w:r w:rsidR="00434753">
        <w:rPr>
          <w:rFonts w:asciiTheme="majorBidi" w:hAnsiTheme="majorBidi" w:cstheme="majorBidi"/>
          <w:color w:val="0D0D0D"/>
          <w:sz w:val="24"/>
          <w:szCs w:val="24"/>
          <w:shd w:val="clear" w:color="auto" w:fill="FFFFFF"/>
        </w:rPr>
        <w:t xml:space="preserve"> </w:t>
      </w:r>
      <w:proofErr w:type="spellStart"/>
      <w:r w:rsidRPr="00C74A38">
        <w:rPr>
          <w:rFonts w:asciiTheme="majorBidi" w:hAnsiTheme="majorBidi" w:cstheme="majorBidi"/>
          <w:color w:val="0D0D0D"/>
          <w:sz w:val="24"/>
          <w:szCs w:val="24"/>
          <w:shd w:val="clear" w:color="auto" w:fill="FFFFFF"/>
        </w:rPr>
        <w:t>Hojjatoleslam</w:t>
      </w:r>
      <w:proofErr w:type="spellEnd"/>
      <w:r w:rsidRPr="00C74A38">
        <w:rPr>
          <w:rFonts w:asciiTheme="majorBidi" w:hAnsiTheme="majorBidi" w:cstheme="majorBidi"/>
          <w:color w:val="0D0D0D"/>
          <w:sz w:val="24"/>
          <w:szCs w:val="24"/>
          <w:shd w:val="clear" w:color="auto" w:fill="FFFFFF"/>
        </w:rPr>
        <w:t xml:space="preserve"> </w:t>
      </w:r>
      <w:hyperlink r:id="rId20" w:history="1">
        <w:r w:rsidRPr="00C74A38">
          <w:rPr>
            <w:rStyle w:val="Hyperlink"/>
            <w:rFonts w:asciiTheme="majorBidi" w:hAnsiTheme="majorBidi" w:cstheme="majorBidi"/>
            <w:sz w:val="24"/>
            <w:szCs w:val="24"/>
          </w:rPr>
          <w:t xml:space="preserve">Seyyed </w:t>
        </w:r>
        <w:proofErr w:type="spellStart"/>
        <w:r w:rsidRPr="00C74A38">
          <w:rPr>
            <w:rStyle w:val="Hyperlink"/>
            <w:rFonts w:asciiTheme="majorBidi" w:hAnsiTheme="majorBidi" w:cstheme="majorBidi"/>
            <w:sz w:val="24"/>
            <w:szCs w:val="24"/>
          </w:rPr>
          <w:t>Mamhud</w:t>
        </w:r>
        <w:proofErr w:type="spellEnd"/>
        <w:r w:rsidRPr="00C74A38">
          <w:rPr>
            <w:rStyle w:val="Hyperlink"/>
            <w:rFonts w:asciiTheme="majorBidi" w:hAnsiTheme="majorBidi" w:cstheme="majorBidi"/>
            <w:sz w:val="24"/>
            <w:szCs w:val="24"/>
          </w:rPr>
          <w:t xml:space="preserve"> Nabavian</w:t>
        </w:r>
      </w:hyperlink>
      <w:r w:rsidRPr="00C74A38">
        <w:rPr>
          <w:rFonts w:asciiTheme="majorBidi" w:hAnsiTheme="majorBidi" w:cstheme="majorBidi"/>
          <w:color w:val="0D0D0D"/>
          <w:sz w:val="24"/>
          <w:szCs w:val="24"/>
          <w:shd w:val="clear" w:color="auto" w:fill="FFFFFF"/>
        </w:rPr>
        <w:t xml:space="preserve"> emerged as the leading vote-getter</w:t>
      </w:r>
      <w:r w:rsidR="0063261E">
        <w:rPr>
          <w:rFonts w:asciiTheme="majorBidi" w:hAnsiTheme="majorBidi" w:cstheme="majorBidi"/>
          <w:color w:val="0D0D0D"/>
          <w:sz w:val="24"/>
          <w:szCs w:val="24"/>
          <w:shd w:val="clear" w:color="auto" w:fill="FFFFFF"/>
        </w:rPr>
        <w:t xml:space="preserve"> with only </w:t>
      </w:r>
      <w:r w:rsidR="000763B9">
        <w:rPr>
          <w:rFonts w:asciiTheme="majorBidi" w:hAnsiTheme="majorBidi" w:cstheme="majorBidi"/>
          <w:color w:val="0D0D0D"/>
          <w:sz w:val="24"/>
          <w:szCs w:val="24"/>
          <w:shd w:val="clear" w:color="auto" w:fill="FFFFFF"/>
        </w:rPr>
        <w:t>600</w:t>
      </w:r>
      <w:r w:rsidR="0063261E">
        <w:rPr>
          <w:rFonts w:asciiTheme="majorBidi" w:hAnsiTheme="majorBidi" w:cstheme="majorBidi"/>
          <w:color w:val="0D0D0D"/>
          <w:sz w:val="24"/>
          <w:szCs w:val="24"/>
          <w:shd w:val="clear" w:color="auto" w:fill="FFFFFF"/>
        </w:rPr>
        <w:t>,000 votes (8% of eligible voters)</w:t>
      </w:r>
      <w:r w:rsidRPr="00C74A38">
        <w:rPr>
          <w:rFonts w:asciiTheme="majorBidi" w:hAnsiTheme="majorBidi" w:cstheme="majorBidi"/>
          <w:color w:val="0D0D0D"/>
          <w:sz w:val="24"/>
          <w:szCs w:val="24"/>
          <w:shd w:val="clear" w:color="auto" w:fill="FFFFFF"/>
        </w:rPr>
        <w:t xml:space="preserve">. </w:t>
      </w:r>
      <w:r w:rsidR="00434753">
        <w:rPr>
          <w:rFonts w:asciiTheme="majorBidi" w:hAnsiTheme="majorBidi" w:cstheme="majorBidi"/>
          <w:color w:val="0D0D0D"/>
          <w:sz w:val="24"/>
          <w:szCs w:val="24"/>
          <w:shd w:val="clear" w:color="auto" w:fill="FFFFFF"/>
        </w:rPr>
        <w:t>T</w:t>
      </w:r>
      <w:r w:rsidRPr="00C74A38">
        <w:rPr>
          <w:rFonts w:asciiTheme="majorBidi" w:hAnsiTheme="majorBidi" w:cstheme="majorBidi"/>
          <w:color w:val="0D0D0D"/>
          <w:sz w:val="24"/>
          <w:szCs w:val="24"/>
          <w:shd w:val="clear" w:color="auto" w:fill="FFFFFF"/>
        </w:rPr>
        <w:t xml:space="preserve">his victory came amid a historic low in voter turnout, with </w:t>
      </w:r>
      <w:r w:rsidR="00AA1468" w:rsidRPr="00C74A38">
        <w:rPr>
          <w:rFonts w:asciiTheme="majorBidi" w:hAnsiTheme="majorBidi" w:cstheme="majorBidi"/>
          <w:color w:val="0D0D0D"/>
          <w:sz w:val="24"/>
          <w:szCs w:val="24"/>
          <w:shd w:val="clear" w:color="auto" w:fill="FFFFFF"/>
        </w:rPr>
        <w:t>r</w:t>
      </w:r>
      <w:r w:rsidR="00AA1468">
        <w:rPr>
          <w:rFonts w:asciiTheme="majorBidi" w:hAnsiTheme="majorBidi" w:cstheme="majorBidi"/>
          <w:color w:val="0D0D0D"/>
          <w:sz w:val="24"/>
          <w:szCs w:val="24"/>
          <w:shd w:val="clear" w:color="auto" w:fill="FFFFFF"/>
        </w:rPr>
        <w:t>eportedly o</w:t>
      </w:r>
      <w:r w:rsidRPr="00C74A38">
        <w:rPr>
          <w:rFonts w:asciiTheme="majorBidi" w:hAnsiTheme="majorBidi" w:cstheme="majorBidi"/>
          <w:color w:val="0D0D0D"/>
          <w:sz w:val="24"/>
          <w:szCs w:val="24"/>
          <w:shd w:val="clear" w:color="auto" w:fill="FFFFFF"/>
        </w:rPr>
        <w:t xml:space="preserve">nly </w:t>
      </w:r>
      <w:r w:rsidR="006E0CC7">
        <w:rPr>
          <w:rFonts w:asciiTheme="majorBidi" w:hAnsiTheme="majorBidi" w:cstheme="majorBidi"/>
          <w:color w:val="0D0D0D"/>
          <w:sz w:val="24"/>
          <w:szCs w:val="24"/>
          <w:shd w:val="clear" w:color="auto" w:fill="FFFFFF"/>
        </w:rPr>
        <w:t>3</w:t>
      </w:r>
      <w:r w:rsidR="00447134">
        <w:rPr>
          <w:rFonts w:asciiTheme="majorBidi" w:hAnsiTheme="majorBidi" w:cstheme="majorBidi"/>
          <w:color w:val="0D0D0D"/>
          <w:sz w:val="24"/>
          <w:szCs w:val="24"/>
          <w:shd w:val="clear" w:color="auto" w:fill="FFFFFF"/>
        </w:rPr>
        <w:t>4</w:t>
      </w:r>
      <w:r w:rsidRPr="00C74A38">
        <w:rPr>
          <w:rFonts w:asciiTheme="majorBidi" w:hAnsiTheme="majorBidi" w:cstheme="majorBidi"/>
          <w:color w:val="0D0D0D"/>
          <w:sz w:val="24"/>
          <w:szCs w:val="24"/>
          <w:shd w:val="clear" w:color="auto" w:fill="FFFFFF"/>
        </w:rPr>
        <w:t xml:space="preserve">% of the </w:t>
      </w:r>
      <w:r w:rsidR="00447134">
        <w:rPr>
          <w:rFonts w:asciiTheme="majorBidi" w:hAnsiTheme="majorBidi" w:cstheme="majorBidi"/>
          <w:color w:val="0D0D0D"/>
          <w:sz w:val="24"/>
          <w:szCs w:val="24"/>
          <w:shd w:val="clear" w:color="auto" w:fill="FFFFFF"/>
        </w:rPr>
        <w:t>capital</w:t>
      </w:r>
      <w:r w:rsidRPr="00C74A38">
        <w:rPr>
          <w:rFonts w:asciiTheme="majorBidi" w:hAnsiTheme="majorBidi" w:cstheme="majorBidi"/>
          <w:color w:val="0D0D0D"/>
          <w:sz w:val="24"/>
          <w:szCs w:val="24"/>
          <w:shd w:val="clear" w:color="auto" w:fill="FFFFFF"/>
        </w:rPr>
        <w:t xml:space="preserve">'s eligible voters participating. </w:t>
      </w:r>
      <w:r w:rsidR="005377EF" w:rsidRPr="005377EF">
        <w:rPr>
          <w:rFonts w:asciiTheme="majorBidi" w:hAnsiTheme="majorBidi" w:cstheme="majorBidi"/>
          <w:sz w:val="24"/>
          <w:szCs w:val="24"/>
        </w:rPr>
        <w:t>Nabavian's triumph signaled a notable departure from the voting trends of the past 28 years, whe</w:t>
      </w:r>
      <w:r w:rsidR="00434753">
        <w:rPr>
          <w:rFonts w:asciiTheme="majorBidi" w:hAnsiTheme="majorBidi" w:cstheme="majorBidi"/>
          <w:sz w:val="24"/>
          <w:szCs w:val="24"/>
        </w:rPr>
        <w:t>n</w:t>
      </w:r>
      <w:r w:rsidR="005377EF" w:rsidRPr="005377EF">
        <w:rPr>
          <w:rFonts w:asciiTheme="majorBidi" w:hAnsiTheme="majorBidi" w:cstheme="majorBidi"/>
          <w:sz w:val="24"/>
          <w:szCs w:val="24"/>
        </w:rPr>
        <w:t xml:space="preserve"> clerics seldom emerged as the top vote-getters. Furthermore, all thirteen </w:t>
      </w:r>
      <w:r w:rsidR="000763B9">
        <w:rPr>
          <w:rFonts w:asciiTheme="majorBidi" w:hAnsiTheme="majorBidi" w:cstheme="majorBidi"/>
          <w:sz w:val="24"/>
          <w:szCs w:val="24"/>
        </w:rPr>
        <w:t xml:space="preserve">Tehran </w:t>
      </w:r>
      <w:r w:rsidR="005377EF" w:rsidRPr="005377EF">
        <w:rPr>
          <w:rFonts w:asciiTheme="majorBidi" w:hAnsiTheme="majorBidi" w:cstheme="majorBidi"/>
          <w:sz w:val="24"/>
          <w:szCs w:val="24"/>
        </w:rPr>
        <w:t>MPs elected alongside him in the first round share conservative leanings.</w:t>
      </w:r>
      <w:r w:rsidR="005377EF">
        <w:rPr>
          <w:rFonts w:asciiTheme="majorBidi" w:hAnsiTheme="majorBidi" w:cstheme="majorBidi"/>
          <w:sz w:val="24"/>
          <w:szCs w:val="24"/>
        </w:rPr>
        <w:t xml:space="preserve"> </w:t>
      </w:r>
      <w:r w:rsidR="00A236BF">
        <w:rPr>
          <w:rFonts w:asciiTheme="majorBidi" w:hAnsiTheme="majorBidi" w:cstheme="majorBidi"/>
          <w:sz w:val="24"/>
          <w:szCs w:val="24"/>
        </w:rPr>
        <w:t>W</w:t>
      </w:r>
      <w:r w:rsidR="00CB0B80" w:rsidRPr="00C74A38">
        <w:rPr>
          <w:rFonts w:asciiTheme="majorBidi" w:hAnsiTheme="majorBidi" w:cstheme="majorBidi"/>
          <w:sz w:val="24"/>
          <w:szCs w:val="24"/>
        </w:rPr>
        <w:t xml:space="preserve">ith </w:t>
      </w:r>
      <w:r w:rsidR="00434753">
        <w:rPr>
          <w:rFonts w:asciiTheme="majorBidi" w:hAnsiTheme="majorBidi" w:cstheme="majorBidi"/>
          <w:sz w:val="24"/>
          <w:szCs w:val="24"/>
        </w:rPr>
        <w:t xml:space="preserve">45 candidates -- </w:t>
      </w:r>
      <w:r w:rsidR="00CB0B80" w:rsidRPr="00C74A38">
        <w:rPr>
          <w:rFonts w:asciiTheme="majorBidi" w:hAnsiTheme="majorBidi" w:cstheme="majorBidi"/>
          <w:sz w:val="24"/>
          <w:szCs w:val="24"/>
        </w:rPr>
        <w:t xml:space="preserve">a record number </w:t>
      </w:r>
      <w:r w:rsidR="00434753">
        <w:rPr>
          <w:rFonts w:asciiTheme="majorBidi" w:hAnsiTheme="majorBidi" w:cstheme="majorBidi"/>
          <w:sz w:val="24"/>
          <w:szCs w:val="24"/>
        </w:rPr>
        <w:t xml:space="preserve">– </w:t>
      </w:r>
      <w:hyperlink r:id="rId21" w:history="1">
        <w:r w:rsidR="00434753" w:rsidRPr="00434753">
          <w:rPr>
            <w:rStyle w:val="Hyperlink"/>
            <w:rFonts w:asciiTheme="majorBidi" w:hAnsiTheme="majorBidi" w:cstheme="majorBidi"/>
            <w:sz w:val="24"/>
            <w:szCs w:val="24"/>
          </w:rPr>
          <w:t>failing to get</w:t>
        </w:r>
      </w:hyperlink>
      <w:r w:rsidR="00434753">
        <w:rPr>
          <w:rFonts w:asciiTheme="majorBidi" w:hAnsiTheme="majorBidi" w:cstheme="majorBidi"/>
          <w:sz w:val="24"/>
          <w:szCs w:val="24"/>
        </w:rPr>
        <w:t xml:space="preserve"> the required minimum of 20% of votes cast, there will need to be runoff elections in April or May to determine </w:t>
      </w:r>
      <w:r w:rsidR="00CB0B80" w:rsidRPr="00C74A38">
        <w:rPr>
          <w:rFonts w:asciiTheme="majorBidi" w:hAnsiTheme="majorBidi" w:cstheme="majorBidi"/>
          <w:sz w:val="24"/>
          <w:szCs w:val="24"/>
        </w:rPr>
        <w:t xml:space="preserve">the fate of </w:t>
      </w:r>
      <w:r w:rsidR="00434753">
        <w:rPr>
          <w:rFonts w:asciiTheme="majorBidi" w:hAnsiTheme="majorBidi" w:cstheme="majorBidi"/>
          <w:sz w:val="24"/>
          <w:szCs w:val="24"/>
        </w:rPr>
        <w:t>their</w:t>
      </w:r>
      <w:r w:rsidR="00CB0B80" w:rsidRPr="00C74A38">
        <w:rPr>
          <w:rFonts w:asciiTheme="majorBidi" w:hAnsiTheme="majorBidi" w:cstheme="majorBidi"/>
          <w:sz w:val="24"/>
          <w:szCs w:val="24"/>
        </w:rPr>
        <w:t xml:space="preserve"> seats</w:t>
      </w:r>
      <w:r w:rsidR="00CB0B80" w:rsidRPr="008A0668">
        <w:rPr>
          <w:rFonts w:asciiTheme="majorBidi" w:hAnsiTheme="majorBidi" w:cstheme="majorBidi"/>
          <w:sz w:val="24"/>
          <w:szCs w:val="24"/>
        </w:rPr>
        <w:t>.</w:t>
      </w:r>
      <w:r w:rsidR="004B693A" w:rsidRPr="008A0668">
        <w:rPr>
          <w:rFonts w:asciiTheme="majorBidi" w:hAnsiTheme="majorBidi" w:cstheme="majorBidi"/>
          <w:sz w:val="24"/>
          <w:szCs w:val="24"/>
        </w:rPr>
        <w:t xml:space="preserve"> </w:t>
      </w:r>
      <w:r w:rsidR="00434753">
        <w:rPr>
          <w:rFonts w:asciiTheme="majorBidi" w:hAnsiTheme="majorBidi" w:cstheme="majorBidi"/>
          <w:sz w:val="24"/>
          <w:szCs w:val="24"/>
        </w:rPr>
        <w:t xml:space="preserve">There will be runoffs in 14 of Iran’s 31 provinces including in </w:t>
      </w:r>
      <w:r w:rsidR="008A0668" w:rsidRPr="008A0668">
        <w:rPr>
          <w:rFonts w:asciiTheme="majorBidi" w:hAnsiTheme="majorBidi" w:cstheme="majorBidi"/>
          <w:color w:val="0D0D0D"/>
          <w:sz w:val="24"/>
          <w:szCs w:val="24"/>
          <w:shd w:val="clear" w:color="auto" w:fill="FFFFFF"/>
        </w:rPr>
        <w:t xml:space="preserve">Tehran, </w:t>
      </w:r>
      <w:r w:rsidR="00434753">
        <w:rPr>
          <w:rFonts w:asciiTheme="majorBidi" w:hAnsiTheme="majorBidi" w:cstheme="majorBidi"/>
          <w:color w:val="0D0D0D"/>
          <w:sz w:val="24"/>
          <w:szCs w:val="24"/>
          <w:shd w:val="clear" w:color="auto" w:fill="FFFFFF"/>
        </w:rPr>
        <w:t xml:space="preserve">where </w:t>
      </w:r>
      <w:r w:rsidR="008A0668" w:rsidRPr="008A0668">
        <w:rPr>
          <w:rFonts w:asciiTheme="majorBidi" w:hAnsiTheme="majorBidi" w:cstheme="majorBidi"/>
          <w:color w:val="0D0D0D"/>
          <w:sz w:val="24"/>
          <w:szCs w:val="24"/>
          <w:shd w:val="clear" w:color="auto" w:fill="FFFFFF"/>
        </w:rPr>
        <w:t xml:space="preserve">53% of </w:t>
      </w:r>
      <w:r w:rsidR="00434753">
        <w:rPr>
          <w:rFonts w:asciiTheme="majorBidi" w:hAnsiTheme="majorBidi" w:cstheme="majorBidi"/>
          <w:color w:val="0D0D0D"/>
          <w:sz w:val="24"/>
          <w:szCs w:val="24"/>
          <w:shd w:val="clear" w:color="auto" w:fill="FFFFFF"/>
        </w:rPr>
        <w:t xml:space="preserve">the </w:t>
      </w:r>
      <w:r w:rsidR="008A0668" w:rsidRPr="008A0668">
        <w:rPr>
          <w:rFonts w:asciiTheme="majorBidi" w:hAnsiTheme="majorBidi" w:cstheme="majorBidi"/>
          <w:color w:val="0D0D0D"/>
          <w:sz w:val="24"/>
          <w:szCs w:val="24"/>
          <w:shd w:val="clear" w:color="auto" w:fill="FFFFFF"/>
        </w:rPr>
        <w:t>MPs must be elected through runoff elections</w:t>
      </w:r>
      <w:r w:rsidR="00434753">
        <w:rPr>
          <w:rFonts w:asciiTheme="majorBidi" w:hAnsiTheme="majorBidi" w:cstheme="majorBidi"/>
          <w:color w:val="0D0D0D"/>
          <w:sz w:val="24"/>
          <w:szCs w:val="24"/>
          <w:shd w:val="clear" w:color="auto" w:fill="FFFFFF"/>
        </w:rPr>
        <w:t xml:space="preserve">. </w:t>
      </w:r>
      <w:r w:rsidR="00572AD8">
        <w:rPr>
          <w:rFonts w:asciiTheme="majorBidi" w:hAnsiTheme="majorBidi" w:cstheme="majorBidi"/>
          <w:sz w:val="24"/>
          <w:szCs w:val="24"/>
        </w:rPr>
        <w:t>Over</w:t>
      </w:r>
      <w:r w:rsidR="00572AD8" w:rsidRPr="00572AD8">
        <w:rPr>
          <w:rFonts w:asciiTheme="majorBidi" w:hAnsiTheme="majorBidi" w:cstheme="majorBidi"/>
          <w:sz w:val="24"/>
          <w:szCs w:val="24"/>
        </w:rPr>
        <w:t xml:space="preserve"> </w:t>
      </w:r>
      <w:hyperlink r:id="rId22" w:history="1">
        <w:r w:rsidR="00572AD8" w:rsidRPr="00572AD8">
          <w:rPr>
            <w:rStyle w:val="Hyperlink"/>
            <w:rFonts w:asciiTheme="majorBidi" w:hAnsiTheme="majorBidi" w:cstheme="majorBidi"/>
            <w:sz w:val="24"/>
            <w:szCs w:val="24"/>
          </w:rPr>
          <w:t>half</w:t>
        </w:r>
      </w:hyperlink>
      <w:r w:rsidR="00572AD8" w:rsidRPr="00572AD8">
        <w:rPr>
          <w:rFonts w:asciiTheme="majorBidi" w:hAnsiTheme="majorBidi" w:cstheme="majorBidi"/>
          <w:sz w:val="24"/>
          <w:szCs w:val="24"/>
        </w:rPr>
        <w:t xml:space="preserve"> of the current members of the </w:t>
      </w:r>
      <w:r w:rsidR="00434753">
        <w:rPr>
          <w:rFonts w:asciiTheme="majorBidi" w:hAnsiTheme="majorBidi" w:cstheme="majorBidi"/>
          <w:sz w:val="24"/>
          <w:szCs w:val="24"/>
        </w:rPr>
        <w:t>parliament</w:t>
      </w:r>
      <w:r w:rsidR="00572AD8" w:rsidRPr="00572AD8">
        <w:rPr>
          <w:rFonts w:asciiTheme="majorBidi" w:hAnsiTheme="majorBidi" w:cstheme="majorBidi"/>
          <w:sz w:val="24"/>
          <w:szCs w:val="24"/>
        </w:rPr>
        <w:t xml:space="preserve"> will not retain their seats in the next term.</w:t>
      </w:r>
      <w:r w:rsidR="00572AD8">
        <w:rPr>
          <w:rFonts w:asciiTheme="majorBidi" w:hAnsiTheme="majorBidi" w:cstheme="majorBidi"/>
          <w:sz w:val="24"/>
          <w:szCs w:val="24"/>
        </w:rPr>
        <w:t xml:space="preserve"> </w:t>
      </w:r>
    </w:p>
    <w:p w14:paraId="07213ED1" w14:textId="7A4E2B69" w:rsidR="009F50CE" w:rsidRPr="00B3517E" w:rsidRDefault="00B3517E" w:rsidP="009F50CE">
      <w:pPr>
        <w:rPr>
          <w:rFonts w:asciiTheme="majorBidi" w:hAnsiTheme="majorBidi" w:cstheme="majorBidi"/>
          <w:b/>
          <w:bCs/>
          <w:sz w:val="24"/>
          <w:szCs w:val="24"/>
        </w:rPr>
      </w:pPr>
      <w:r w:rsidRPr="00B3517E">
        <w:rPr>
          <w:rFonts w:asciiTheme="majorBidi" w:hAnsiTheme="majorBidi" w:cstheme="majorBidi"/>
          <w:b/>
          <w:bCs/>
          <w:sz w:val="24"/>
          <w:szCs w:val="24"/>
        </w:rPr>
        <w:t xml:space="preserve">Assembly of Experts </w:t>
      </w:r>
      <w:r w:rsidR="00434753">
        <w:rPr>
          <w:rFonts w:asciiTheme="majorBidi" w:hAnsiTheme="majorBidi" w:cstheme="majorBidi"/>
          <w:b/>
          <w:bCs/>
          <w:sz w:val="24"/>
          <w:szCs w:val="24"/>
        </w:rPr>
        <w:t>e</w:t>
      </w:r>
      <w:r w:rsidRPr="00B3517E">
        <w:rPr>
          <w:rFonts w:asciiTheme="majorBidi" w:hAnsiTheme="majorBidi" w:cstheme="majorBidi"/>
          <w:b/>
          <w:bCs/>
          <w:sz w:val="24"/>
          <w:szCs w:val="24"/>
        </w:rPr>
        <w:t>lections</w:t>
      </w:r>
    </w:p>
    <w:p w14:paraId="5BF683FD" w14:textId="23BE8619" w:rsidR="009F50CE" w:rsidRPr="00A86210" w:rsidRDefault="00572AD8" w:rsidP="00572AD8">
      <w:pPr>
        <w:rPr>
          <w:rFonts w:asciiTheme="majorBidi" w:hAnsiTheme="majorBidi" w:cstheme="majorBidi"/>
          <w:sz w:val="24"/>
          <w:szCs w:val="24"/>
        </w:rPr>
      </w:pPr>
      <w:r w:rsidRPr="00572AD8">
        <w:rPr>
          <w:rFonts w:asciiTheme="majorBidi" w:hAnsiTheme="majorBidi" w:cstheme="majorBidi"/>
          <w:sz w:val="24"/>
          <w:szCs w:val="24"/>
        </w:rPr>
        <w:t>Following embarrassingly low turnout rates of 37% and 46% in the 1990 and 1998 Assembly of Experts solo elections respectively, the Islamic Republic implemented a strategy of holding these elections concurrently with municipal or parliamentary elections to enhance voter participation. This approach was once again adopted this year.</w:t>
      </w:r>
      <w:r>
        <w:rPr>
          <w:rFonts w:asciiTheme="majorBidi" w:hAnsiTheme="majorBidi" w:cstheme="majorBidi"/>
          <w:sz w:val="24"/>
          <w:szCs w:val="24"/>
        </w:rPr>
        <w:t xml:space="preserve"> </w:t>
      </w:r>
      <w:r w:rsidR="009F50CE" w:rsidRPr="00A86210">
        <w:rPr>
          <w:rFonts w:asciiTheme="majorBidi" w:hAnsiTheme="majorBidi" w:cstheme="majorBidi"/>
          <w:sz w:val="24"/>
          <w:szCs w:val="24"/>
        </w:rPr>
        <w:t>The concurrent Assembly of Experts elections revealed additional intriguing developments</w:t>
      </w:r>
      <w:r w:rsidR="00B93FFE">
        <w:rPr>
          <w:rFonts w:asciiTheme="majorBidi" w:hAnsiTheme="majorBidi" w:cstheme="majorBidi"/>
          <w:sz w:val="24"/>
          <w:szCs w:val="24"/>
        </w:rPr>
        <w:t>.</w:t>
      </w:r>
    </w:p>
    <w:p w14:paraId="1B327414" w14:textId="10B01A43" w:rsidR="009F50CE" w:rsidRDefault="00434753" w:rsidP="00CC5E6A">
      <w:pPr>
        <w:rPr>
          <w:rFonts w:asciiTheme="majorBidi" w:hAnsiTheme="majorBidi" w:cstheme="majorBidi"/>
          <w:sz w:val="24"/>
          <w:szCs w:val="24"/>
        </w:rPr>
      </w:pPr>
      <w:r>
        <w:rPr>
          <w:rFonts w:asciiTheme="majorBidi" w:hAnsiTheme="majorBidi" w:cstheme="majorBidi"/>
          <w:sz w:val="24"/>
          <w:szCs w:val="24"/>
        </w:rPr>
        <w:t>O</w:t>
      </w:r>
      <w:r w:rsidR="009F50CE" w:rsidRPr="00CC5E6A">
        <w:rPr>
          <w:rFonts w:asciiTheme="majorBidi" w:hAnsiTheme="majorBidi" w:cstheme="majorBidi"/>
          <w:sz w:val="24"/>
          <w:szCs w:val="24"/>
        </w:rPr>
        <w:t>f 510 clerics vying for 88 seats, only 144 (28%) were deemed qualified, resulting in an average candidates-to-seats ratio of 1.6:1.</w:t>
      </w:r>
      <w:r w:rsidR="00521143" w:rsidRPr="00CC5E6A">
        <w:rPr>
          <w:rFonts w:asciiTheme="majorBidi" w:hAnsiTheme="majorBidi" w:cstheme="majorBidi"/>
          <w:sz w:val="24"/>
          <w:szCs w:val="24"/>
        </w:rPr>
        <w:t xml:space="preserve"> This marked the second highest disqualification rate of candidates in Assembly of Experts elections </w:t>
      </w:r>
      <w:r>
        <w:rPr>
          <w:rFonts w:asciiTheme="majorBidi" w:hAnsiTheme="majorBidi" w:cstheme="majorBidi"/>
          <w:sz w:val="24"/>
          <w:szCs w:val="24"/>
        </w:rPr>
        <w:t xml:space="preserve">since 2016, when the </w:t>
      </w:r>
      <w:r w:rsidR="00521143" w:rsidRPr="00CC5E6A">
        <w:rPr>
          <w:rFonts w:asciiTheme="majorBidi" w:hAnsiTheme="majorBidi" w:cstheme="majorBidi"/>
          <w:sz w:val="24"/>
          <w:szCs w:val="24"/>
        </w:rPr>
        <w:t>rate was 20%.</w:t>
      </w:r>
    </w:p>
    <w:p w14:paraId="7A4076FD" w14:textId="77777777" w:rsidR="00B93FFE" w:rsidRPr="00B93FFE" w:rsidRDefault="00B93FFE" w:rsidP="005A1752">
      <w:pPr>
        <w:rPr>
          <w:rFonts w:asciiTheme="majorBidi" w:hAnsiTheme="majorBidi" w:cstheme="majorBidi"/>
        </w:rPr>
      </w:pPr>
      <w:r>
        <w:rPr>
          <w:rFonts w:asciiTheme="majorBidi" w:hAnsiTheme="majorBidi" w:cstheme="majorBidi"/>
          <w:sz w:val="24"/>
          <w:szCs w:val="24"/>
        </w:rPr>
        <w:lastRenderedPageBreak/>
        <w:t xml:space="preserve">Table 5. </w:t>
      </w:r>
      <w:r w:rsidRPr="00B93FFE">
        <w:rPr>
          <w:rFonts w:asciiTheme="majorBidi" w:hAnsiTheme="majorBidi" w:cstheme="majorBidi"/>
        </w:rPr>
        <w:t>Comparison of Registered Candidates vs. Active Participants in Assembly of Experts Elections</w:t>
      </w:r>
    </w:p>
    <w:p w14:paraId="1B43C57F" w14:textId="1621C7F7" w:rsidR="00B93FFE" w:rsidRDefault="00B93FFE" w:rsidP="00CC5E6A">
      <w:pPr>
        <w:rPr>
          <w:rFonts w:asciiTheme="majorBidi" w:hAnsiTheme="majorBidi" w:cstheme="majorBidi"/>
          <w:sz w:val="24"/>
          <w:szCs w:val="24"/>
        </w:rPr>
      </w:pPr>
    </w:p>
    <w:p w14:paraId="1AAA5B64" w14:textId="74358AD9" w:rsidR="00B93FFE" w:rsidRPr="00CC5E6A" w:rsidRDefault="00B93FFE" w:rsidP="00CC5E6A">
      <w:pPr>
        <w:rPr>
          <w:rFonts w:asciiTheme="majorBidi" w:hAnsiTheme="majorBidi" w:cstheme="majorBidi"/>
          <w:sz w:val="24"/>
          <w:szCs w:val="24"/>
        </w:rPr>
      </w:pPr>
      <w:r>
        <w:rPr>
          <w:noProof/>
        </w:rPr>
        <w:drawing>
          <wp:inline distT="0" distB="0" distL="0" distR="0" wp14:anchorId="451CAF47" wp14:editId="472809D7">
            <wp:extent cx="5943600" cy="2750820"/>
            <wp:effectExtent l="0" t="0" r="0" b="11430"/>
            <wp:docPr id="1332584583" name="Chart 1">
              <a:extLst xmlns:a="http://schemas.openxmlformats.org/drawingml/2006/main">
                <a:ext uri="{FF2B5EF4-FFF2-40B4-BE49-F238E27FC236}">
                  <a16:creationId xmlns:a16="http://schemas.microsoft.com/office/drawing/2014/main" id="{00000000-0008-0000-0000-00000C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D71BD6C" w14:textId="10BCAD13" w:rsidR="00572AD8" w:rsidRDefault="00572AD8" w:rsidP="00625873">
      <w:pPr>
        <w:rPr>
          <w:rFonts w:asciiTheme="majorBidi" w:hAnsiTheme="majorBidi" w:cstheme="majorBidi"/>
          <w:sz w:val="24"/>
          <w:szCs w:val="24"/>
        </w:rPr>
      </w:pPr>
      <w:r w:rsidRPr="00572AD8">
        <w:rPr>
          <w:rFonts w:asciiTheme="majorBidi" w:hAnsiTheme="majorBidi" w:cstheme="majorBidi"/>
          <w:sz w:val="24"/>
          <w:szCs w:val="24"/>
        </w:rPr>
        <w:t xml:space="preserve">Disqualifications extended to prominent figures, including two former intelligence ministers, and even former President Hasan Rouhani, whose public appeals to the Guardian Council for </w:t>
      </w:r>
      <w:r w:rsidR="00434753">
        <w:rPr>
          <w:rFonts w:asciiTheme="majorBidi" w:hAnsiTheme="majorBidi" w:cstheme="majorBidi"/>
          <w:sz w:val="24"/>
          <w:szCs w:val="24"/>
        </w:rPr>
        <w:t xml:space="preserve">an </w:t>
      </w:r>
      <w:r w:rsidRPr="00572AD8">
        <w:rPr>
          <w:rFonts w:asciiTheme="majorBidi" w:hAnsiTheme="majorBidi" w:cstheme="majorBidi"/>
          <w:sz w:val="24"/>
          <w:szCs w:val="24"/>
        </w:rPr>
        <w:t xml:space="preserve">explanation remained unanswered. Meanwhile, Ayatollah </w:t>
      </w:r>
      <w:hyperlink r:id="rId24" w:history="1">
        <w:r w:rsidRPr="001E49C5">
          <w:rPr>
            <w:rStyle w:val="Hyperlink"/>
            <w:rFonts w:asciiTheme="majorBidi" w:hAnsiTheme="majorBidi" w:cstheme="majorBidi"/>
            <w:sz w:val="24"/>
            <w:szCs w:val="24"/>
          </w:rPr>
          <w:t>Sadeq Larijani</w:t>
        </w:r>
      </w:hyperlink>
      <w:r w:rsidRPr="00572AD8">
        <w:rPr>
          <w:rFonts w:asciiTheme="majorBidi" w:hAnsiTheme="majorBidi" w:cstheme="majorBidi"/>
          <w:sz w:val="24"/>
          <w:szCs w:val="24"/>
        </w:rPr>
        <w:t xml:space="preserve">, the former chief justice and current chair of the Council for the Expediency of the State, </w:t>
      </w:r>
      <w:r w:rsidR="00434753">
        <w:rPr>
          <w:rFonts w:asciiTheme="majorBidi" w:hAnsiTheme="majorBidi" w:cstheme="majorBidi"/>
          <w:sz w:val="24"/>
          <w:szCs w:val="24"/>
        </w:rPr>
        <w:t xml:space="preserve">another of the Islamic Republic’s myriad clerical bodies, </w:t>
      </w:r>
      <w:r w:rsidRPr="00572AD8">
        <w:rPr>
          <w:rFonts w:asciiTheme="majorBidi" w:hAnsiTheme="majorBidi" w:cstheme="majorBidi"/>
          <w:sz w:val="24"/>
          <w:szCs w:val="24"/>
        </w:rPr>
        <w:t>faced a humiliating defeat, finishing last among five candidates competing for four available seats in the province of Mazandaran.</w:t>
      </w:r>
    </w:p>
    <w:p w14:paraId="1583FE8A" w14:textId="2E5FC841" w:rsidR="00572AD8" w:rsidRDefault="00572AD8" w:rsidP="00625873">
      <w:pPr>
        <w:rPr>
          <w:rFonts w:asciiTheme="majorBidi" w:hAnsiTheme="majorBidi" w:cstheme="majorBidi"/>
          <w:sz w:val="24"/>
          <w:szCs w:val="24"/>
        </w:rPr>
      </w:pPr>
      <w:r w:rsidRPr="00572AD8">
        <w:rPr>
          <w:rFonts w:asciiTheme="majorBidi" w:hAnsiTheme="majorBidi" w:cstheme="majorBidi"/>
          <w:sz w:val="24"/>
          <w:szCs w:val="24"/>
        </w:rPr>
        <w:t>In th</w:t>
      </w:r>
      <w:r w:rsidR="00C0444B">
        <w:rPr>
          <w:rFonts w:asciiTheme="majorBidi" w:hAnsiTheme="majorBidi" w:cstheme="majorBidi"/>
          <w:sz w:val="24"/>
          <w:szCs w:val="24"/>
        </w:rPr>
        <w:t>is</w:t>
      </w:r>
      <w:r w:rsidRPr="00572AD8">
        <w:rPr>
          <w:rFonts w:asciiTheme="majorBidi" w:hAnsiTheme="majorBidi" w:cstheme="majorBidi"/>
          <w:sz w:val="24"/>
          <w:szCs w:val="24"/>
        </w:rPr>
        <w:t xml:space="preserve"> </w:t>
      </w:r>
      <w:r w:rsidR="00C0444B">
        <w:rPr>
          <w:rFonts w:asciiTheme="majorBidi" w:hAnsiTheme="majorBidi" w:cstheme="majorBidi"/>
          <w:sz w:val="24"/>
          <w:szCs w:val="24"/>
        </w:rPr>
        <w:t>sixth</w:t>
      </w:r>
      <w:r w:rsidRPr="00572AD8">
        <w:rPr>
          <w:rFonts w:asciiTheme="majorBidi" w:hAnsiTheme="majorBidi" w:cstheme="majorBidi"/>
          <w:sz w:val="24"/>
          <w:szCs w:val="24"/>
        </w:rPr>
        <w:t xml:space="preserve"> round of the Assembly of Experts, the incumbency rate, compared to the </w:t>
      </w:r>
      <w:r w:rsidR="00C0444B">
        <w:rPr>
          <w:rFonts w:asciiTheme="majorBidi" w:hAnsiTheme="majorBidi" w:cstheme="majorBidi"/>
          <w:sz w:val="24"/>
          <w:szCs w:val="24"/>
        </w:rPr>
        <w:t>fifth</w:t>
      </w:r>
      <w:r w:rsidRPr="00572AD8">
        <w:rPr>
          <w:rFonts w:asciiTheme="majorBidi" w:hAnsiTheme="majorBidi" w:cstheme="majorBidi"/>
          <w:sz w:val="24"/>
          <w:szCs w:val="24"/>
        </w:rPr>
        <w:t xml:space="preserve"> round, stood at </w:t>
      </w:r>
      <w:r w:rsidR="003C7F58">
        <w:rPr>
          <w:rFonts w:asciiTheme="majorBidi" w:hAnsiTheme="majorBidi" w:cstheme="majorBidi"/>
          <w:sz w:val="24"/>
          <w:szCs w:val="24"/>
        </w:rPr>
        <w:t>60</w:t>
      </w:r>
      <w:r w:rsidRPr="00572AD8">
        <w:rPr>
          <w:rFonts w:asciiTheme="majorBidi" w:hAnsiTheme="majorBidi" w:cstheme="majorBidi"/>
          <w:sz w:val="24"/>
          <w:szCs w:val="24"/>
        </w:rPr>
        <w:t>% (5</w:t>
      </w:r>
      <w:r w:rsidR="003C7F58">
        <w:rPr>
          <w:rFonts w:asciiTheme="majorBidi" w:hAnsiTheme="majorBidi" w:cstheme="majorBidi"/>
          <w:sz w:val="24"/>
          <w:szCs w:val="24"/>
        </w:rPr>
        <w:t>3</w:t>
      </w:r>
      <w:r w:rsidRPr="00572AD8">
        <w:rPr>
          <w:rFonts w:asciiTheme="majorBidi" w:hAnsiTheme="majorBidi" w:cstheme="majorBidi"/>
          <w:sz w:val="24"/>
          <w:szCs w:val="24"/>
        </w:rPr>
        <w:t xml:space="preserve"> out of 88), surpassing the average rate of 51% observed in the previous five rounds. Notably, many of the incumbents and newly elected deputies </w:t>
      </w:r>
      <w:r w:rsidR="00C0444B">
        <w:rPr>
          <w:rFonts w:asciiTheme="majorBidi" w:hAnsiTheme="majorBidi" w:cstheme="majorBidi"/>
          <w:sz w:val="24"/>
          <w:szCs w:val="24"/>
        </w:rPr>
        <w:t xml:space="preserve">were </w:t>
      </w:r>
      <w:r w:rsidRPr="00572AD8">
        <w:rPr>
          <w:rFonts w:asciiTheme="majorBidi" w:hAnsiTheme="majorBidi" w:cstheme="majorBidi"/>
          <w:sz w:val="24"/>
          <w:szCs w:val="24"/>
        </w:rPr>
        <w:t>former or current appointees of Supreme Leader</w:t>
      </w:r>
      <w:r w:rsidR="00C0444B">
        <w:rPr>
          <w:rFonts w:asciiTheme="majorBidi" w:hAnsiTheme="majorBidi" w:cstheme="majorBidi"/>
          <w:sz w:val="24"/>
          <w:szCs w:val="24"/>
        </w:rPr>
        <w:t xml:space="preserve"> </w:t>
      </w:r>
      <w:r w:rsidRPr="00572AD8">
        <w:rPr>
          <w:rFonts w:asciiTheme="majorBidi" w:hAnsiTheme="majorBidi" w:cstheme="majorBidi"/>
          <w:sz w:val="24"/>
          <w:szCs w:val="24"/>
        </w:rPr>
        <w:t>Khamenei. For instance, Ayatollah</w:t>
      </w:r>
      <w:r w:rsidR="0059568F">
        <w:rPr>
          <w:rFonts w:asciiTheme="majorBidi" w:hAnsiTheme="majorBidi" w:cstheme="majorBidi"/>
          <w:sz w:val="24"/>
          <w:szCs w:val="24"/>
        </w:rPr>
        <w:t xml:space="preserve"> </w:t>
      </w:r>
      <w:hyperlink r:id="rId25" w:history="1">
        <w:r w:rsidR="0059568F" w:rsidRPr="00290D86">
          <w:rPr>
            <w:rStyle w:val="Hyperlink"/>
            <w:rFonts w:asciiTheme="majorBidi" w:hAnsiTheme="majorBidi" w:cstheme="majorBidi"/>
            <w:sz w:val="24"/>
            <w:szCs w:val="24"/>
          </w:rPr>
          <w:t xml:space="preserve">Alireza </w:t>
        </w:r>
        <w:proofErr w:type="spellStart"/>
        <w:r w:rsidR="0059568F" w:rsidRPr="00290D86">
          <w:rPr>
            <w:rStyle w:val="Hyperlink"/>
            <w:rFonts w:asciiTheme="majorBidi" w:hAnsiTheme="majorBidi" w:cstheme="majorBidi"/>
            <w:sz w:val="24"/>
            <w:szCs w:val="24"/>
          </w:rPr>
          <w:t>Arafi</w:t>
        </w:r>
        <w:proofErr w:type="spellEnd"/>
      </w:hyperlink>
      <w:r w:rsidRPr="00572AD8">
        <w:rPr>
          <w:rFonts w:asciiTheme="majorBidi" w:hAnsiTheme="majorBidi" w:cstheme="majorBidi"/>
          <w:sz w:val="24"/>
          <w:szCs w:val="24"/>
        </w:rPr>
        <w:t xml:space="preserve"> who emerged as Tehran's</w:t>
      </w:r>
      <w:hyperlink r:id="rId26" w:history="1">
        <w:r w:rsidRPr="00E9489E">
          <w:rPr>
            <w:rStyle w:val="Hyperlink"/>
            <w:rFonts w:asciiTheme="majorBidi" w:hAnsiTheme="majorBidi" w:cstheme="majorBidi"/>
            <w:sz w:val="24"/>
            <w:szCs w:val="24"/>
          </w:rPr>
          <w:t xml:space="preserve"> top</w:t>
        </w:r>
      </w:hyperlink>
      <w:r w:rsidRPr="00572AD8">
        <w:rPr>
          <w:rFonts w:asciiTheme="majorBidi" w:hAnsiTheme="majorBidi" w:cstheme="majorBidi"/>
          <w:sz w:val="24"/>
          <w:szCs w:val="24"/>
        </w:rPr>
        <w:t xml:space="preserve"> vote-getter, </w:t>
      </w:r>
      <w:r w:rsidR="0059568F" w:rsidRPr="00572AD8">
        <w:rPr>
          <w:rFonts w:asciiTheme="majorBidi" w:hAnsiTheme="majorBidi" w:cstheme="majorBidi"/>
          <w:sz w:val="24"/>
          <w:szCs w:val="24"/>
        </w:rPr>
        <w:t>enjoys Khamenei's favor, having been appointed</w:t>
      </w:r>
      <w:r w:rsidR="0059568F">
        <w:rPr>
          <w:rFonts w:asciiTheme="majorBidi" w:hAnsiTheme="majorBidi" w:cstheme="majorBidi"/>
          <w:sz w:val="24"/>
          <w:szCs w:val="24"/>
        </w:rPr>
        <w:t xml:space="preserve"> coordinator</w:t>
      </w:r>
      <w:r w:rsidR="0059568F" w:rsidRPr="00572AD8">
        <w:rPr>
          <w:rFonts w:asciiTheme="majorBidi" w:hAnsiTheme="majorBidi" w:cstheme="majorBidi"/>
          <w:sz w:val="24"/>
          <w:szCs w:val="24"/>
        </w:rPr>
        <w:t xml:space="preserve"> of all religious seminaries across the country</w:t>
      </w:r>
      <w:r w:rsidRPr="00572AD8">
        <w:rPr>
          <w:rFonts w:asciiTheme="majorBidi" w:hAnsiTheme="majorBidi" w:cstheme="majorBidi"/>
          <w:sz w:val="24"/>
          <w:szCs w:val="24"/>
        </w:rPr>
        <w:t>. Similarly, the second top vote-getter, Ayatollah</w:t>
      </w:r>
      <w:r w:rsidR="0059568F">
        <w:rPr>
          <w:rFonts w:asciiTheme="majorBidi" w:hAnsiTheme="majorBidi" w:cstheme="majorBidi"/>
          <w:sz w:val="24"/>
          <w:szCs w:val="24"/>
        </w:rPr>
        <w:t xml:space="preserve"> </w:t>
      </w:r>
      <w:hyperlink r:id="rId27" w:history="1">
        <w:r w:rsidR="0059568F" w:rsidRPr="00625873">
          <w:rPr>
            <w:rStyle w:val="Hyperlink"/>
            <w:rFonts w:asciiTheme="majorBidi" w:hAnsiTheme="majorBidi" w:cstheme="majorBidi"/>
            <w:sz w:val="24"/>
            <w:szCs w:val="24"/>
          </w:rPr>
          <w:t xml:space="preserve">Mohsen </w:t>
        </w:r>
        <w:proofErr w:type="spellStart"/>
        <w:r w:rsidR="0059568F" w:rsidRPr="00625873">
          <w:rPr>
            <w:rStyle w:val="Hyperlink"/>
            <w:rFonts w:asciiTheme="majorBidi" w:hAnsiTheme="majorBidi" w:cstheme="majorBidi"/>
            <w:sz w:val="24"/>
            <w:szCs w:val="24"/>
          </w:rPr>
          <w:t>Qomi</w:t>
        </w:r>
        <w:proofErr w:type="spellEnd"/>
      </w:hyperlink>
      <w:r w:rsidR="0059568F" w:rsidRPr="00572AD8">
        <w:rPr>
          <w:rFonts w:asciiTheme="majorBidi" w:hAnsiTheme="majorBidi" w:cstheme="majorBidi"/>
          <w:sz w:val="24"/>
          <w:szCs w:val="24"/>
        </w:rPr>
        <w:t>, holds the position of deputy for international communication in Khamenei’s office</w:t>
      </w:r>
      <w:r w:rsidR="002233C5">
        <w:rPr>
          <w:rFonts w:asciiTheme="majorBidi" w:hAnsiTheme="majorBidi" w:cstheme="majorBidi"/>
          <w:sz w:val="24"/>
          <w:szCs w:val="24"/>
        </w:rPr>
        <w:t>.</w:t>
      </w:r>
    </w:p>
    <w:p w14:paraId="3548F954" w14:textId="243C1517" w:rsidR="00501B5C" w:rsidRPr="00501B5C" w:rsidRDefault="00501B5C" w:rsidP="00501B5C">
      <w:pPr>
        <w:rPr>
          <w:rFonts w:asciiTheme="majorBidi" w:hAnsiTheme="majorBidi" w:cstheme="majorBidi"/>
          <w:sz w:val="24"/>
          <w:szCs w:val="24"/>
        </w:rPr>
      </w:pPr>
      <w:r w:rsidRPr="00501B5C">
        <w:rPr>
          <w:rFonts w:asciiTheme="majorBidi" w:hAnsiTheme="majorBidi" w:cstheme="majorBidi"/>
          <w:sz w:val="24"/>
          <w:szCs w:val="24"/>
        </w:rPr>
        <w:t>Voter turnout in the past three nationwide elections in Iran - the 2019 and 2024</w:t>
      </w:r>
      <w:r w:rsidR="00C0444B">
        <w:rPr>
          <w:rFonts w:asciiTheme="majorBidi" w:hAnsiTheme="majorBidi" w:cstheme="majorBidi"/>
          <w:sz w:val="24"/>
          <w:szCs w:val="24"/>
        </w:rPr>
        <w:t xml:space="preserve"> parliamentary</w:t>
      </w:r>
      <w:r w:rsidRPr="00501B5C">
        <w:rPr>
          <w:rFonts w:asciiTheme="majorBidi" w:hAnsiTheme="majorBidi" w:cstheme="majorBidi"/>
          <w:sz w:val="24"/>
          <w:szCs w:val="24"/>
        </w:rPr>
        <w:t xml:space="preserve"> elections, and the 2021 presidential and municipal council elections - has fluctuated between 41 and 49 percent. Compounding this, spoiled votes ranked second in the 2021 presidential election</w:t>
      </w:r>
      <w:r w:rsidR="00C0444B">
        <w:rPr>
          <w:rFonts w:asciiTheme="majorBidi" w:hAnsiTheme="majorBidi" w:cstheme="majorBidi"/>
          <w:sz w:val="24"/>
          <w:szCs w:val="24"/>
        </w:rPr>
        <w:t xml:space="preserve"> and there were </w:t>
      </w:r>
      <w:r w:rsidRPr="00501B5C">
        <w:rPr>
          <w:rFonts w:asciiTheme="majorBidi" w:hAnsiTheme="majorBidi" w:cstheme="majorBidi"/>
          <w:sz w:val="24"/>
          <w:szCs w:val="24"/>
        </w:rPr>
        <w:t xml:space="preserve">at least 553,000 </w:t>
      </w:r>
      <w:hyperlink r:id="rId28" w:history="1">
        <w:r w:rsidRPr="00BC5BFF">
          <w:rPr>
            <w:rStyle w:val="Hyperlink"/>
            <w:rFonts w:asciiTheme="majorBidi" w:hAnsiTheme="majorBidi" w:cstheme="majorBidi"/>
            <w:sz w:val="24"/>
            <w:szCs w:val="24"/>
          </w:rPr>
          <w:t>spoiled votes</w:t>
        </w:r>
      </w:hyperlink>
      <w:r w:rsidRPr="00501B5C">
        <w:rPr>
          <w:rFonts w:asciiTheme="majorBidi" w:hAnsiTheme="majorBidi" w:cstheme="majorBidi"/>
          <w:sz w:val="24"/>
          <w:szCs w:val="24"/>
        </w:rPr>
        <w:t xml:space="preserve"> uncovered in Tehran's ballot boxes </w:t>
      </w:r>
      <w:r w:rsidR="00C0444B">
        <w:rPr>
          <w:rFonts w:asciiTheme="majorBidi" w:hAnsiTheme="majorBidi" w:cstheme="majorBidi"/>
          <w:sz w:val="24"/>
          <w:szCs w:val="24"/>
        </w:rPr>
        <w:t xml:space="preserve">on March 1, according to </w:t>
      </w:r>
      <w:r w:rsidRPr="00501B5C">
        <w:rPr>
          <w:rFonts w:asciiTheme="majorBidi" w:hAnsiTheme="majorBidi" w:cstheme="majorBidi"/>
          <w:sz w:val="24"/>
          <w:szCs w:val="24"/>
        </w:rPr>
        <w:t>a conservative newspaper. This trend signals an escalating crisis of legitimacy</w:t>
      </w:r>
      <w:r w:rsidR="00572AD8">
        <w:rPr>
          <w:rFonts w:asciiTheme="majorBidi" w:hAnsiTheme="majorBidi" w:cstheme="majorBidi"/>
          <w:sz w:val="24"/>
          <w:szCs w:val="24"/>
        </w:rPr>
        <w:t xml:space="preserve"> for the ruling elite.</w:t>
      </w:r>
    </w:p>
    <w:p w14:paraId="3799FFE9" w14:textId="77062F7A" w:rsidR="00501B5C" w:rsidRDefault="00501B5C" w:rsidP="00501B5C">
      <w:pPr>
        <w:rPr>
          <w:rFonts w:asciiTheme="majorBidi" w:hAnsiTheme="majorBidi" w:cstheme="majorBidi"/>
          <w:sz w:val="24"/>
          <w:szCs w:val="24"/>
        </w:rPr>
      </w:pPr>
      <w:r w:rsidRPr="00501B5C">
        <w:rPr>
          <w:rFonts w:asciiTheme="majorBidi" w:hAnsiTheme="majorBidi" w:cstheme="majorBidi"/>
          <w:sz w:val="24"/>
          <w:szCs w:val="24"/>
        </w:rPr>
        <w:t xml:space="preserve">The combination of widespread citizen boycotts </w:t>
      </w:r>
      <w:r w:rsidR="00C0444B">
        <w:rPr>
          <w:rFonts w:asciiTheme="majorBidi" w:hAnsiTheme="majorBidi" w:cstheme="majorBidi"/>
          <w:sz w:val="24"/>
          <w:szCs w:val="24"/>
        </w:rPr>
        <w:t xml:space="preserve">and </w:t>
      </w:r>
      <w:r w:rsidRPr="00501B5C">
        <w:rPr>
          <w:rFonts w:asciiTheme="majorBidi" w:hAnsiTheme="majorBidi" w:cstheme="majorBidi"/>
          <w:sz w:val="24"/>
          <w:szCs w:val="24"/>
        </w:rPr>
        <w:t>apathy, coupled with the biased disqualification practices of the Guardian Council, has paved the way for the conservatives' ascendancy. Leveraging their entrenched voter base</w:t>
      </w:r>
      <w:r w:rsidR="00C0444B">
        <w:rPr>
          <w:rFonts w:asciiTheme="majorBidi" w:hAnsiTheme="majorBidi" w:cstheme="majorBidi"/>
          <w:sz w:val="24"/>
          <w:szCs w:val="24"/>
        </w:rPr>
        <w:t xml:space="preserve"> of perhaps a quarter of the population</w:t>
      </w:r>
      <w:r w:rsidRPr="00501B5C">
        <w:rPr>
          <w:rFonts w:asciiTheme="majorBidi" w:hAnsiTheme="majorBidi" w:cstheme="majorBidi"/>
          <w:sz w:val="24"/>
          <w:szCs w:val="24"/>
        </w:rPr>
        <w:t xml:space="preserve">, conservative factions have not only dominated Iran's two elected assemblies but also </w:t>
      </w:r>
      <w:r>
        <w:rPr>
          <w:rFonts w:asciiTheme="majorBidi" w:hAnsiTheme="majorBidi" w:cstheme="majorBidi"/>
          <w:sz w:val="24"/>
          <w:szCs w:val="24"/>
        </w:rPr>
        <w:t xml:space="preserve">control </w:t>
      </w:r>
      <w:r w:rsidRPr="00501B5C">
        <w:rPr>
          <w:rFonts w:asciiTheme="majorBidi" w:hAnsiTheme="majorBidi" w:cstheme="majorBidi"/>
          <w:sz w:val="24"/>
          <w:szCs w:val="24"/>
        </w:rPr>
        <w:t xml:space="preserve">the </w:t>
      </w:r>
      <w:r w:rsidRPr="00501B5C">
        <w:rPr>
          <w:rFonts w:asciiTheme="majorBidi" w:hAnsiTheme="majorBidi" w:cstheme="majorBidi"/>
          <w:sz w:val="24"/>
          <w:szCs w:val="24"/>
        </w:rPr>
        <w:lastRenderedPageBreak/>
        <w:t>executive branch. From their perspective, the Faustian bargain they've struck has yielded substantial dividends.</w:t>
      </w:r>
    </w:p>
    <w:p w14:paraId="22814EEC" w14:textId="03F828AB" w:rsidR="00FD7EAB" w:rsidRPr="00C0444B" w:rsidRDefault="00C0444B" w:rsidP="00C0444B">
      <w:pPr>
        <w:rPr>
          <w:rFonts w:asciiTheme="majorBidi" w:hAnsiTheme="majorBidi" w:cstheme="majorBidi"/>
          <w:sz w:val="24"/>
          <w:szCs w:val="24"/>
        </w:rPr>
      </w:pPr>
      <w:r>
        <w:rPr>
          <w:rFonts w:asciiTheme="majorBidi" w:hAnsiTheme="majorBidi" w:cstheme="majorBidi"/>
          <w:sz w:val="24"/>
          <w:szCs w:val="24"/>
        </w:rPr>
        <w:t>C</w:t>
      </w:r>
      <w:r w:rsidR="00F621F7" w:rsidRPr="00F621F7">
        <w:rPr>
          <w:rFonts w:asciiTheme="majorBidi" w:hAnsiTheme="majorBidi" w:cstheme="majorBidi"/>
          <w:sz w:val="24"/>
          <w:szCs w:val="24"/>
        </w:rPr>
        <w:t xml:space="preserve">ritical questions emerge </w:t>
      </w:r>
      <w:r>
        <w:rPr>
          <w:rFonts w:asciiTheme="majorBidi" w:hAnsiTheme="majorBidi" w:cstheme="majorBidi"/>
          <w:sz w:val="24"/>
          <w:szCs w:val="24"/>
        </w:rPr>
        <w:t>for the future</w:t>
      </w:r>
      <w:r w:rsidR="00F621F7" w:rsidRPr="00F621F7">
        <w:rPr>
          <w:rFonts w:asciiTheme="majorBidi" w:hAnsiTheme="majorBidi" w:cstheme="majorBidi"/>
          <w:sz w:val="24"/>
          <w:szCs w:val="24"/>
        </w:rPr>
        <w:t xml:space="preserve">: Will the regime recognize the opportunity costs of its ongoing bargain? Will the opposition persist in their resolve to abstain from the ballot box, even </w:t>
      </w:r>
      <w:proofErr w:type="gramStart"/>
      <w:r w:rsidR="00F621F7" w:rsidRPr="00F621F7">
        <w:rPr>
          <w:rFonts w:asciiTheme="majorBidi" w:hAnsiTheme="majorBidi" w:cstheme="majorBidi"/>
          <w:sz w:val="24"/>
          <w:szCs w:val="24"/>
        </w:rPr>
        <w:t>in light of</w:t>
      </w:r>
      <w:proofErr w:type="gramEnd"/>
      <w:r w:rsidR="00F621F7" w:rsidRPr="00F621F7">
        <w:rPr>
          <w:rFonts w:asciiTheme="majorBidi" w:hAnsiTheme="majorBidi" w:cstheme="majorBidi"/>
          <w:sz w:val="24"/>
          <w:szCs w:val="24"/>
        </w:rPr>
        <w:t xml:space="preserve"> the regime's enduring presence? And will the conservative factions find themselves at odds, either in navigating the succession of the Supreme Leader or amid escalating tensions in Iran's international relations? These uncertainties underscore the complexity of Iran's political landscape </w:t>
      </w:r>
      <w:r>
        <w:rPr>
          <w:rFonts w:asciiTheme="majorBidi" w:hAnsiTheme="majorBidi" w:cstheme="majorBidi"/>
          <w:sz w:val="24"/>
          <w:szCs w:val="24"/>
        </w:rPr>
        <w:t xml:space="preserve">and </w:t>
      </w:r>
      <w:r w:rsidR="00F621F7" w:rsidRPr="00F621F7">
        <w:rPr>
          <w:rFonts w:asciiTheme="majorBidi" w:hAnsiTheme="majorBidi" w:cstheme="majorBidi"/>
          <w:sz w:val="24"/>
          <w:szCs w:val="24"/>
        </w:rPr>
        <w:t xml:space="preserve">the </w:t>
      </w:r>
      <w:r>
        <w:rPr>
          <w:rFonts w:asciiTheme="majorBidi" w:hAnsiTheme="majorBidi" w:cstheme="majorBidi"/>
          <w:sz w:val="24"/>
          <w:szCs w:val="24"/>
        </w:rPr>
        <w:t xml:space="preserve">nation’s uncertain </w:t>
      </w:r>
      <w:r w:rsidR="00F621F7" w:rsidRPr="00F621F7">
        <w:rPr>
          <w:rFonts w:asciiTheme="majorBidi" w:hAnsiTheme="majorBidi" w:cstheme="majorBidi"/>
          <w:sz w:val="24"/>
          <w:szCs w:val="24"/>
        </w:rPr>
        <w:t>trajectory in the years to come.</w:t>
      </w:r>
    </w:p>
    <w:p w14:paraId="3C150F6F" w14:textId="7C0FC4A7" w:rsidR="00FD7EAB" w:rsidRPr="00FD7EAB" w:rsidRDefault="00FD7EAB" w:rsidP="00FD7EAB">
      <w:pPr>
        <w:shd w:val="clear" w:color="auto" w:fill="FFFFFF"/>
        <w:rPr>
          <w:rFonts w:asciiTheme="majorBidi" w:hAnsiTheme="majorBidi" w:cstheme="majorBidi"/>
          <w:i/>
          <w:iCs/>
          <w:sz w:val="24"/>
          <w:szCs w:val="24"/>
        </w:rPr>
      </w:pPr>
      <w:r w:rsidRPr="00FD7EAB">
        <w:rPr>
          <w:rFonts w:asciiTheme="majorBidi" w:hAnsiTheme="majorBidi" w:cstheme="majorBidi"/>
          <w:i/>
          <w:iCs/>
          <w:sz w:val="24"/>
          <w:szCs w:val="24"/>
        </w:rPr>
        <w:t xml:space="preserve">Mehrzad Boroujerdi is the Dean of College of Arts, Sciences, and Education, Missouri University of Science and Technology, and the author of </w:t>
      </w:r>
      <w:hyperlink r:id="rId29" w:history="1">
        <w:r w:rsidRPr="00FD7EAB">
          <w:rPr>
            <w:rStyle w:val="Hyperlink"/>
            <w:rFonts w:asciiTheme="majorBidi" w:hAnsiTheme="majorBidi" w:cstheme="majorBidi"/>
            <w:i/>
            <w:iCs/>
            <w:sz w:val="24"/>
            <w:szCs w:val="24"/>
          </w:rPr>
          <w:t>Postrevolutionary Iran: A Political Handbook</w:t>
        </w:r>
      </w:hyperlink>
      <w:r w:rsidR="00C0444B">
        <w:rPr>
          <w:rFonts w:asciiTheme="majorBidi" w:hAnsiTheme="majorBidi" w:cstheme="majorBidi"/>
          <w:i/>
          <w:iCs/>
          <w:sz w:val="24"/>
          <w:szCs w:val="24"/>
        </w:rPr>
        <w:t>, from which much of the data for this commentary is drawn.</w:t>
      </w:r>
    </w:p>
    <w:p w14:paraId="55BD7FC9" w14:textId="0EFDDA30" w:rsidR="00FD7EAB" w:rsidRPr="00D647BE" w:rsidRDefault="00FD7EAB" w:rsidP="00FD7EAB">
      <w:pPr>
        <w:rPr>
          <w:rFonts w:asciiTheme="majorBidi" w:hAnsiTheme="majorBidi" w:cstheme="majorBidi"/>
          <w:sz w:val="24"/>
          <w:szCs w:val="24"/>
        </w:rPr>
      </w:pPr>
    </w:p>
    <w:p w14:paraId="382D8508" w14:textId="77777777" w:rsidR="00FD7EAB" w:rsidRPr="00A86210" w:rsidRDefault="00FD7EAB" w:rsidP="00EE7A81">
      <w:pPr>
        <w:shd w:val="clear" w:color="auto" w:fill="FFFFFF"/>
        <w:rPr>
          <w:rFonts w:asciiTheme="majorBidi" w:hAnsiTheme="majorBidi" w:cstheme="majorBidi"/>
          <w:sz w:val="24"/>
          <w:szCs w:val="24"/>
        </w:rPr>
      </w:pPr>
    </w:p>
    <w:sectPr w:rsidR="00FD7EAB" w:rsidRPr="00A8621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7CA6" w14:textId="77777777" w:rsidR="005C55D4" w:rsidRDefault="005C55D4" w:rsidP="002B1B28">
      <w:pPr>
        <w:spacing w:after="0" w:line="240" w:lineRule="auto"/>
      </w:pPr>
      <w:r>
        <w:separator/>
      </w:r>
    </w:p>
  </w:endnote>
  <w:endnote w:type="continuationSeparator" w:id="0">
    <w:p w14:paraId="6F58C251" w14:textId="77777777" w:rsidR="005C55D4" w:rsidRDefault="005C55D4" w:rsidP="002B1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31645"/>
      <w:docPartObj>
        <w:docPartGallery w:val="Page Numbers (Bottom of Page)"/>
        <w:docPartUnique/>
      </w:docPartObj>
    </w:sdtPr>
    <w:sdtEndPr>
      <w:rPr>
        <w:rFonts w:asciiTheme="majorBidi" w:hAnsiTheme="majorBidi" w:cstheme="majorBidi"/>
        <w:noProof/>
        <w:sz w:val="20"/>
        <w:szCs w:val="20"/>
      </w:rPr>
    </w:sdtEndPr>
    <w:sdtContent>
      <w:p w14:paraId="5943FFD1" w14:textId="7E0D0AAC" w:rsidR="002B1B28" w:rsidRPr="002B1B28" w:rsidRDefault="002B1B28">
        <w:pPr>
          <w:pStyle w:val="Footer"/>
          <w:jc w:val="center"/>
          <w:rPr>
            <w:rFonts w:asciiTheme="majorBidi" w:hAnsiTheme="majorBidi" w:cstheme="majorBidi"/>
            <w:sz w:val="20"/>
            <w:szCs w:val="20"/>
          </w:rPr>
        </w:pPr>
        <w:r w:rsidRPr="002B1B28">
          <w:rPr>
            <w:rFonts w:asciiTheme="majorBidi" w:hAnsiTheme="majorBidi" w:cstheme="majorBidi"/>
            <w:sz w:val="20"/>
            <w:szCs w:val="20"/>
          </w:rPr>
          <w:fldChar w:fldCharType="begin"/>
        </w:r>
        <w:r w:rsidRPr="002B1B28">
          <w:rPr>
            <w:rFonts w:asciiTheme="majorBidi" w:hAnsiTheme="majorBidi" w:cstheme="majorBidi"/>
            <w:sz w:val="20"/>
            <w:szCs w:val="20"/>
          </w:rPr>
          <w:instrText xml:space="preserve"> PAGE   \* MERGEFORMAT </w:instrText>
        </w:r>
        <w:r w:rsidRPr="002B1B28">
          <w:rPr>
            <w:rFonts w:asciiTheme="majorBidi" w:hAnsiTheme="majorBidi" w:cstheme="majorBidi"/>
            <w:sz w:val="20"/>
            <w:szCs w:val="20"/>
          </w:rPr>
          <w:fldChar w:fldCharType="separate"/>
        </w:r>
        <w:r w:rsidRPr="002B1B28">
          <w:rPr>
            <w:rFonts w:asciiTheme="majorBidi" w:hAnsiTheme="majorBidi" w:cstheme="majorBidi"/>
            <w:noProof/>
            <w:sz w:val="20"/>
            <w:szCs w:val="20"/>
          </w:rPr>
          <w:t>2</w:t>
        </w:r>
        <w:r w:rsidRPr="002B1B28">
          <w:rPr>
            <w:rFonts w:asciiTheme="majorBidi" w:hAnsiTheme="majorBidi" w:cstheme="majorBidi"/>
            <w:noProof/>
            <w:sz w:val="20"/>
            <w:szCs w:val="20"/>
          </w:rPr>
          <w:fldChar w:fldCharType="end"/>
        </w:r>
      </w:p>
    </w:sdtContent>
  </w:sdt>
  <w:p w14:paraId="25193432" w14:textId="77777777" w:rsidR="002B1B28" w:rsidRDefault="002B1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45078" w14:textId="77777777" w:rsidR="005C55D4" w:rsidRDefault="005C55D4" w:rsidP="002B1B28">
      <w:pPr>
        <w:spacing w:after="0" w:line="240" w:lineRule="auto"/>
      </w:pPr>
      <w:r>
        <w:separator/>
      </w:r>
    </w:p>
  </w:footnote>
  <w:footnote w:type="continuationSeparator" w:id="0">
    <w:p w14:paraId="2974891F" w14:textId="77777777" w:rsidR="005C55D4" w:rsidRDefault="005C55D4" w:rsidP="002B1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E4B"/>
    <w:multiLevelType w:val="hybridMultilevel"/>
    <w:tmpl w:val="68981DAE"/>
    <w:lvl w:ilvl="0" w:tplc="2CCE69B2">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7522B"/>
    <w:multiLevelType w:val="hybridMultilevel"/>
    <w:tmpl w:val="B022A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F2916"/>
    <w:multiLevelType w:val="hybridMultilevel"/>
    <w:tmpl w:val="A5647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90CCE"/>
    <w:multiLevelType w:val="hybridMultilevel"/>
    <w:tmpl w:val="B79A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D6EB3"/>
    <w:multiLevelType w:val="hybridMultilevel"/>
    <w:tmpl w:val="7BB8A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8913928">
    <w:abstractNumId w:val="2"/>
  </w:num>
  <w:num w:numId="2" w16cid:durableId="1401514659">
    <w:abstractNumId w:val="4"/>
  </w:num>
  <w:num w:numId="3" w16cid:durableId="1665013708">
    <w:abstractNumId w:val="0"/>
  </w:num>
  <w:num w:numId="4" w16cid:durableId="1443767954">
    <w:abstractNumId w:val="1"/>
  </w:num>
  <w:num w:numId="5" w16cid:durableId="240218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61"/>
    <w:rsid w:val="0000551F"/>
    <w:rsid w:val="00067909"/>
    <w:rsid w:val="000763B9"/>
    <w:rsid w:val="00083160"/>
    <w:rsid w:val="000B0B23"/>
    <w:rsid w:val="000B2BD0"/>
    <w:rsid w:val="000E7C98"/>
    <w:rsid w:val="00125B13"/>
    <w:rsid w:val="001A3828"/>
    <w:rsid w:val="001D042B"/>
    <w:rsid w:val="001E49C5"/>
    <w:rsid w:val="001E7384"/>
    <w:rsid w:val="00221855"/>
    <w:rsid w:val="002233C5"/>
    <w:rsid w:val="0022395B"/>
    <w:rsid w:val="00236DF3"/>
    <w:rsid w:val="00263FC1"/>
    <w:rsid w:val="002903F5"/>
    <w:rsid w:val="00290D86"/>
    <w:rsid w:val="00296BF0"/>
    <w:rsid w:val="002B1B28"/>
    <w:rsid w:val="002C2EEF"/>
    <w:rsid w:val="002C74C9"/>
    <w:rsid w:val="002F6E1F"/>
    <w:rsid w:val="002F70E6"/>
    <w:rsid w:val="00322D40"/>
    <w:rsid w:val="00343159"/>
    <w:rsid w:val="00353120"/>
    <w:rsid w:val="00354771"/>
    <w:rsid w:val="0035509A"/>
    <w:rsid w:val="00394438"/>
    <w:rsid w:val="00394CF2"/>
    <w:rsid w:val="003B290C"/>
    <w:rsid w:val="003C7F58"/>
    <w:rsid w:val="003D1160"/>
    <w:rsid w:val="003F2896"/>
    <w:rsid w:val="00412855"/>
    <w:rsid w:val="00434753"/>
    <w:rsid w:val="00447134"/>
    <w:rsid w:val="004547D0"/>
    <w:rsid w:val="00455EB6"/>
    <w:rsid w:val="004717D9"/>
    <w:rsid w:val="00475052"/>
    <w:rsid w:val="004778DA"/>
    <w:rsid w:val="00482495"/>
    <w:rsid w:val="004926C7"/>
    <w:rsid w:val="00494913"/>
    <w:rsid w:val="004B693A"/>
    <w:rsid w:val="004C355F"/>
    <w:rsid w:val="004C7878"/>
    <w:rsid w:val="004D37BA"/>
    <w:rsid w:val="00501B5C"/>
    <w:rsid w:val="005048BF"/>
    <w:rsid w:val="00515A13"/>
    <w:rsid w:val="00517176"/>
    <w:rsid w:val="00521143"/>
    <w:rsid w:val="005377EF"/>
    <w:rsid w:val="005538F5"/>
    <w:rsid w:val="00572AD8"/>
    <w:rsid w:val="00583CB5"/>
    <w:rsid w:val="0059568F"/>
    <w:rsid w:val="005A1752"/>
    <w:rsid w:val="005C55D4"/>
    <w:rsid w:val="005D2034"/>
    <w:rsid w:val="005D4168"/>
    <w:rsid w:val="005E14C9"/>
    <w:rsid w:val="005E7527"/>
    <w:rsid w:val="005F3394"/>
    <w:rsid w:val="005F57B2"/>
    <w:rsid w:val="006154B0"/>
    <w:rsid w:val="00625873"/>
    <w:rsid w:val="00625BB5"/>
    <w:rsid w:val="0063261E"/>
    <w:rsid w:val="0068650A"/>
    <w:rsid w:val="00695F1E"/>
    <w:rsid w:val="006B2859"/>
    <w:rsid w:val="006C6119"/>
    <w:rsid w:val="006E0CC7"/>
    <w:rsid w:val="006E1785"/>
    <w:rsid w:val="00772C63"/>
    <w:rsid w:val="00776E06"/>
    <w:rsid w:val="007835C9"/>
    <w:rsid w:val="007B5A6C"/>
    <w:rsid w:val="007C440E"/>
    <w:rsid w:val="00824094"/>
    <w:rsid w:val="008409F2"/>
    <w:rsid w:val="0085662D"/>
    <w:rsid w:val="0086771B"/>
    <w:rsid w:val="008707D9"/>
    <w:rsid w:val="00887F79"/>
    <w:rsid w:val="00891B50"/>
    <w:rsid w:val="008A0668"/>
    <w:rsid w:val="008F10B9"/>
    <w:rsid w:val="009175EE"/>
    <w:rsid w:val="0092185B"/>
    <w:rsid w:val="00932834"/>
    <w:rsid w:val="00952FEE"/>
    <w:rsid w:val="00957B3A"/>
    <w:rsid w:val="00967847"/>
    <w:rsid w:val="00974A54"/>
    <w:rsid w:val="0097638E"/>
    <w:rsid w:val="009B2BD4"/>
    <w:rsid w:val="009B7B15"/>
    <w:rsid w:val="009C0967"/>
    <w:rsid w:val="009D3B5B"/>
    <w:rsid w:val="009F50CE"/>
    <w:rsid w:val="00A236BF"/>
    <w:rsid w:val="00A259B0"/>
    <w:rsid w:val="00A362A0"/>
    <w:rsid w:val="00A81E75"/>
    <w:rsid w:val="00A86210"/>
    <w:rsid w:val="00A9053D"/>
    <w:rsid w:val="00AA1468"/>
    <w:rsid w:val="00AA2C69"/>
    <w:rsid w:val="00AB1E6C"/>
    <w:rsid w:val="00AF2DFF"/>
    <w:rsid w:val="00B3517E"/>
    <w:rsid w:val="00B93FFE"/>
    <w:rsid w:val="00BC4C38"/>
    <w:rsid w:val="00BC5BFF"/>
    <w:rsid w:val="00BC7F5B"/>
    <w:rsid w:val="00BE5469"/>
    <w:rsid w:val="00C0444B"/>
    <w:rsid w:val="00C16358"/>
    <w:rsid w:val="00C20A90"/>
    <w:rsid w:val="00C358FD"/>
    <w:rsid w:val="00C60EC0"/>
    <w:rsid w:val="00C619C5"/>
    <w:rsid w:val="00C74A38"/>
    <w:rsid w:val="00CA1A5A"/>
    <w:rsid w:val="00CB0B80"/>
    <w:rsid w:val="00CB66F6"/>
    <w:rsid w:val="00CC5E6A"/>
    <w:rsid w:val="00CD5061"/>
    <w:rsid w:val="00D00C65"/>
    <w:rsid w:val="00D23A9C"/>
    <w:rsid w:val="00D33DF0"/>
    <w:rsid w:val="00D4610F"/>
    <w:rsid w:val="00D647BE"/>
    <w:rsid w:val="00D65D8D"/>
    <w:rsid w:val="00D77A45"/>
    <w:rsid w:val="00D84535"/>
    <w:rsid w:val="00D91F10"/>
    <w:rsid w:val="00DA7865"/>
    <w:rsid w:val="00DB03AB"/>
    <w:rsid w:val="00DD442B"/>
    <w:rsid w:val="00DF18E9"/>
    <w:rsid w:val="00DF7B25"/>
    <w:rsid w:val="00E30EEA"/>
    <w:rsid w:val="00E4126A"/>
    <w:rsid w:val="00E83C9E"/>
    <w:rsid w:val="00E9489E"/>
    <w:rsid w:val="00EA0F73"/>
    <w:rsid w:val="00EA5334"/>
    <w:rsid w:val="00EB204F"/>
    <w:rsid w:val="00EC346A"/>
    <w:rsid w:val="00EC44E1"/>
    <w:rsid w:val="00EC62E8"/>
    <w:rsid w:val="00ED1851"/>
    <w:rsid w:val="00EE25C6"/>
    <w:rsid w:val="00EE7A81"/>
    <w:rsid w:val="00F17A5E"/>
    <w:rsid w:val="00F31BA5"/>
    <w:rsid w:val="00F621F7"/>
    <w:rsid w:val="00F67D3B"/>
    <w:rsid w:val="00F8154D"/>
    <w:rsid w:val="00F823A6"/>
    <w:rsid w:val="00F86C99"/>
    <w:rsid w:val="00F86FFB"/>
    <w:rsid w:val="00F9192C"/>
    <w:rsid w:val="00F95D0A"/>
    <w:rsid w:val="00FA0402"/>
    <w:rsid w:val="00FB61AD"/>
    <w:rsid w:val="00FD7EAB"/>
    <w:rsid w:val="00FE5082"/>
    <w:rsid w:val="00FF64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16E9"/>
  <w15:chartTrackingRefBased/>
  <w15:docId w15:val="{FFE0CB71-8B0E-45DD-90A0-475FA5FB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042B"/>
    <w:pPr>
      <w:keepNext/>
      <w:spacing w:after="0" w:line="240" w:lineRule="auto"/>
      <w:outlineLvl w:val="0"/>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8BF"/>
    <w:pPr>
      <w:ind w:left="720"/>
      <w:contextualSpacing/>
    </w:pPr>
  </w:style>
  <w:style w:type="character" w:styleId="Hyperlink">
    <w:name w:val="Hyperlink"/>
    <w:basedOn w:val="DefaultParagraphFont"/>
    <w:uiPriority w:val="99"/>
    <w:unhideWhenUsed/>
    <w:rsid w:val="00EE7A81"/>
    <w:rPr>
      <w:color w:val="0000FF"/>
      <w:u w:val="single"/>
    </w:rPr>
  </w:style>
  <w:style w:type="character" w:customStyle="1" w:styleId="Heading1Char">
    <w:name w:val="Heading 1 Char"/>
    <w:basedOn w:val="DefaultParagraphFont"/>
    <w:link w:val="Heading1"/>
    <w:uiPriority w:val="9"/>
    <w:rsid w:val="001D042B"/>
    <w:rPr>
      <w:rFonts w:ascii="Times New Roman" w:eastAsia="Times New Roman" w:hAnsi="Times New Roman" w:cs="Times New Roman"/>
      <w:kern w:val="0"/>
      <w:sz w:val="24"/>
      <w:szCs w:val="20"/>
      <w14:ligatures w14:val="none"/>
    </w:rPr>
  </w:style>
  <w:style w:type="character" w:styleId="UnresolvedMention">
    <w:name w:val="Unresolved Mention"/>
    <w:basedOn w:val="DefaultParagraphFont"/>
    <w:uiPriority w:val="99"/>
    <w:semiHidden/>
    <w:unhideWhenUsed/>
    <w:rsid w:val="00A362A0"/>
    <w:rPr>
      <w:color w:val="605E5C"/>
      <w:shd w:val="clear" w:color="auto" w:fill="E1DFDD"/>
    </w:rPr>
  </w:style>
  <w:style w:type="character" w:styleId="FollowedHyperlink">
    <w:name w:val="FollowedHyperlink"/>
    <w:basedOn w:val="DefaultParagraphFont"/>
    <w:uiPriority w:val="99"/>
    <w:semiHidden/>
    <w:unhideWhenUsed/>
    <w:rsid w:val="00FF648A"/>
    <w:rPr>
      <w:color w:val="954F72" w:themeColor="followedHyperlink"/>
      <w:u w:val="single"/>
    </w:rPr>
  </w:style>
  <w:style w:type="paragraph" w:styleId="NormalWeb">
    <w:name w:val="Normal (Web)"/>
    <w:basedOn w:val="Normal"/>
    <w:uiPriority w:val="99"/>
    <w:semiHidden/>
    <w:unhideWhenUsed/>
    <w:rsid w:val="00B93F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B1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28"/>
  </w:style>
  <w:style w:type="paragraph" w:styleId="Footer">
    <w:name w:val="footer"/>
    <w:basedOn w:val="Normal"/>
    <w:link w:val="FooterChar"/>
    <w:uiPriority w:val="99"/>
    <w:unhideWhenUsed/>
    <w:rsid w:val="002B1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925">
      <w:bodyDiv w:val="1"/>
      <w:marLeft w:val="0"/>
      <w:marRight w:val="0"/>
      <w:marTop w:val="0"/>
      <w:marBottom w:val="0"/>
      <w:divBdr>
        <w:top w:val="none" w:sz="0" w:space="0" w:color="auto"/>
        <w:left w:val="none" w:sz="0" w:space="0" w:color="auto"/>
        <w:bottom w:val="none" w:sz="0" w:space="0" w:color="auto"/>
        <w:right w:val="none" w:sz="0" w:space="0" w:color="auto"/>
      </w:divBdr>
    </w:div>
    <w:div w:id="310213596">
      <w:bodyDiv w:val="1"/>
      <w:marLeft w:val="0"/>
      <w:marRight w:val="0"/>
      <w:marTop w:val="0"/>
      <w:marBottom w:val="0"/>
      <w:divBdr>
        <w:top w:val="none" w:sz="0" w:space="0" w:color="auto"/>
        <w:left w:val="none" w:sz="0" w:space="0" w:color="auto"/>
        <w:bottom w:val="none" w:sz="0" w:space="0" w:color="auto"/>
        <w:right w:val="none" w:sz="0" w:space="0" w:color="auto"/>
      </w:divBdr>
    </w:div>
    <w:div w:id="602304290">
      <w:bodyDiv w:val="1"/>
      <w:marLeft w:val="0"/>
      <w:marRight w:val="0"/>
      <w:marTop w:val="0"/>
      <w:marBottom w:val="0"/>
      <w:divBdr>
        <w:top w:val="none" w:sz="0" w:space="0" w:color="auto"/>
        <w:left w:val="none" w:sz="0" w:space="0" w:color="auto"/>
        <w:bottom w:val="none" w:sz="0" w:space="0" w:color="auto"/>
        <w:right w:val="none" w:sz="0" w:space="0" w:color="auto"/>
      </w:divBdr>
    </w:div>
    <w:div w:id="940114724">
      <w:bodyDiv w:val="1"/>
      <w:marLeft w:val="0"/>
      <w:marRight w:val="0"/>
      <w:marTop w:val="0"/>
      <w:marBottom w:val="0"/>
      <w:divBdr>
        <w:top w:val="none" w:sz="0" w:space="0" w:color="auto"/>
        <w:left w:val="none" w:sz="0" w:space="0" w:color="auto"/>
        <w:bottom w:val="none" w:sz="0" w:space="0" w:color="auto"/>
        <w:right w:val="none" w:sz="0" w:space="0" w:color="auto"/>
      </w:divBdr>
    </w:div>
    <w:div w:id="972947744">
      <w:bodyDiv w:val="1"/>
      <w:marLeft w:val="0"/>
      <w:marRight w:val="0"/>
      <w:marTop w:val="0"/>
      <w:marBottom w:val="0"/>
      <w:divBdr>
        <w:top w:val="none" w:sz="0" w:space="0" w:color="auto"/>
        <w:left w:val="none" w:sz="0" w:space="0" w:color="auto"/>
        <w:bottom w:val="none" w:sz="0" w:space="0" w:color="auto"/>
        <w:right w:val="none" w:sz="0" w:space="0" w:color="auto"/>
      </w:divBdr>
    </w:div>
    <w:div w:id="1118838855">
      <w:bodyDiv w:val="1"/>
      <w:marLeft w:val="0"/>
      <w:marRight w:val="0"/>
      <w:marTop w:val="0"/>
      <w:marBottom w:val="0"/>
      <w:divBdr>
        <w:top w:val="none" w:sz="0" w:space="0" w:color="auto"/>
        <w:left w:val="none" w:sz="0" w:space="0" w:color="auto"/>
        <w:bottom w:val="none" w:sz="0" w:space="0" w:color="auto"/>
        <w:right w:val="none" w:sz="0" w:space="0" w:color="auto"/>
      </w:divBdr>
    </w:div>
    <w:div w:id="1256398852">
      <w:bodyDiv w:val="1"/>
      <w:marLeft w:val="0"/>
      <w:marRight w:val="0"/>
      <w:marTop w:val="0"/>
      <w:marBottom w:val="0"/>
      <w:divBdr>
        <w:top w:val="none" w:sz="0" w:space="0" w:color="auto"/>
        <w:left w:val="none" w:sz="0" w:space="0" w:color="auto"/>
        <w:bottom w:val="none" w:sz="0" w:space="0" w:color="auto"/>
        <w:right w:val="none" w:sz="0" w:space="0" w:color="auto"/>
      </w:divBdr>
      <w:divsChild>
        <w:div w:id="950862540">
          <w:marLeft w:val="0"/>
          <w:marRight w:val="0"/>
          <w:marTop w:val="0"/>
          <w:marBottom w:val="0"/>
          <w:divBdr>
            <w:top w:val="none" w:sz="0" w:space="0" w:color="auto"/>
            <w:left w:val="none" w:sz="0" w:space="0" w:color="auto"/>
            <w:bottom w:val="none" w:sz="0" w:space="0" w:color="auto"/>
            <w:right w:val="none" w:sz="0" w:space="0" w:color="auto"/>
          </w:divBdr>
        </w:div>
        <w:div w:id="1431707017">
          <w:marLeft w:val="0"/>
          <w:marRight w:val="0"/>
          <w:marTop w:val="0"/>
          <w:marBottom w:val="0"/>
          <w:divBdr>
            <w:top w:val="none" w:sz="0" w:space="0" w:color="auto"/>
            <w:left w:val="none" w:sz="0" w:space="0" w:color="auto"/>
            <w:bottom w:val="none" w:sz="0" w:space="0" w:color="auto"/>
            <w:right w:val="none" w:sz="0" w:space="0" w:color="auto"/>
          </w:divBdr>
        </w:div>
        <w:div w:id="351764086">
          <w:marLeft w:val="0"/>
          <w:marRight w:val="0"/>
          <w:marTop w:val="0"/>
          <w:marBottom w:val="0"/>
          <w:divBdr>
            <w:top w:val="none" w:sz="0" w:space="0" w:color="auto"/>
            <w:left w:val="none" w:sz="0" w:space="0" w:color="auto"/>
            <w:bottom w:val="none" w:sz="0" w:space="0" w:color="auto"/>
            <w:right w:val="none" w:sz="0" w:space="0" w:color="auto"/>
          </w:divBdr>
        </w:div>
        <w:div w:id="534848478">
          <w:marLeft w:val="0"/>
          <w:marRight w:val="0"/>
          <w:marTop w:val="0"/>
          <w:marBottom w:val="0"/>
          <w:divBdr>
            <w:top w:val="none" w:sz="0" w:space="0" w:color="auto"/>
            <w:left w:val="none" w:sz="0" w:space="0" w:color="auto"/>
            <w:bottom w:val="none" w:sz="0" w:space="0" w:color="auto"/>
            <w:right w:val="none" w:sz="0" w:space="0" w:color="auto"/>
          </w:divBdr>
        </w:div>
        <w:div w:id="919674757">
          <w:marLeft w:val="0"/>
          <w:marRight w:val="0"/>
          <w:marTop w:val="0"/>
          <w:marBottom w:val="0"/>
          <w:divBdr>
            <w:top w:val="none" w:sz="0" w:space="0" w:color="auto"/>
            <w:left w:val="none" w:sz="0" w:space="0" w:color="auto"/>
            <w:bottom w:val="none" w:sz="0" w:space="0" w:color="auto"/>
            <w:right w:val="none" w:sz="0" w:space="0" w:color="auto"/>
          </w:divBdr>
          <w:divsChild>
            <w:div w:id="1317996669">
              <w:marLeft w:val="0"/>
              <w:marRight w:val="0"/>
              <w:marTop w:val="0"/>
              <w:marBottom w:val="0"/>
              <w:divBdr>
                <w:top w:val="none" w:sz="0" w:space="0" w:color="auto"/>
                <w:left w:val="none" w:sz="0" w:space="0" w:color="auto"/>
                <w:bottom w:val="none" w:sz="0" w:space="0" w:color="auto"/>
                <w:right w:val="none" w:sz="0" w:space="0" w:color="auto"/>
              </w:divBdr>
              <w:divsChild>
                <w:div w:id="1749233079">
                  <w:marLeft w:val="0"/>
                  <w:marRight w:val="0"/>
                  <w:marTop w:val="0"/>
                  <w:marBottom w:val="0"/>
                  <w:divBdr>
                    <w:top w:val="none" w:sz="0" w:space="0" w:color="auto"/>
                    <w:left w:val="none" w:sz="0" w:space="0" w:color="auto"/>
                    <w:bottom w:val="none" w:sz="0" w:space="0" w:color="auto"/>
                    <w:right w:val="none" w:sz="0" w:space="0" w:color="auto"/>
                  </w:divBdr>
                  <w:divsChild>
                    <w:div w:id="470830058">
                      <w:marLeft w:val="0"/>
                      <w:marRight w:val="0"/>
                      <w:marTop w:val="0"/>
                      <w:marBottom w:val="0"/>
                      <w:divBdr>
                        <w:top w:val="none" w:sz="0" w:space="0" w:color="auto"/>
                        <w:left w:val="none" w:sz="0" w:space="0" w:color="auto"/>
                        <w:bottom w:val="none" w:sz="0" w:space="0" w:color="auto"/>
                        <w:right w:val="none" w:sz="0" w:space="0" w:color="auto"/>
                      </w:divBdr>
                      <w:divsChild>
                        <w:div w:id="99568500">
                          <w:marLeft w:val="0"/>
                          <w:marRight w:val="0"/>
                          <w:marTop w:val="0"/>
                          <w:marBottom w:val="0"/>
                          <w:divBdr>
                            <w:top w:val="none" w:sz="0" w:space="0" w:color="auto"/>
                            <w:left w:val="none" w:sz="0" w:space="0" w:color="auto"/>
                            <w:bottom w:val="none" w:sz="0" w:space="0" w:color="auto"/>
                            <w:right w:val="none" w:sz="0" w:space="0" w:color="auto"/>
                          </w:divBdr>
                        </w:div>
                        <w:div w:id="1044452009">
                          <w:marLeft w:val="0"/>
                          <w:marRight w:val="0"/>
                          <w:marTop w:val="0"/>
                          <w:marBottom w:val="0"/>
                          <w:divBdr>
                            <w:top w:val="none" w:sz="0" w:space="0" w:color="auto"/>
                            <w:left w:val="none" w:sz="0" w:space="0" w:color="auto"/>
                            <w:bottom w:val="none" w:sz="0" w:space="0" w:color="auto"/>
                            <w:right w:val="none" w:sz="0" w:space="0" w:color="auto"/>
                          </w:divBdr>
                        </w:div>
                        <w:div w:id="19067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56">
      <w:bodyDiv w:val="1"/>
      <w:marLeft w:val="0"/>
      <w:marRight w:val="0"/>
      <w:marTop w:val="0"/>
      <w:marBottom w:val="0"/>
      <w:divBdr>
        <w:top w:val="none" w:sz="0" w:space="0" w:color="auto"/>
        <w:left w:val="none" w:sz="0" w:space="0" w:color="auto"/>
        <w:bottom w:val="none" w:sz="0" w:space="0" w:color="auto"/>
        <w:right w:val="none" w:sz="0" w:space="0" w:color="auto"/>
      </w:divBdr>
    </w:div>
    <w:div w:id="1978295657">
      <w:bodyDiv w:val="1"/>
      <w:marLeft w:val="0"/>
      <w:marRight w:val="0"/>
      <w:marTop w:val="0"/>
      <w:marBottom w:val="0"/>
      <w:divBdr>
        <w:top w:val="none" w:sz="0" w:space="0" w:color="auto"/>
        <w:left w:val="none" w:sz="0" w:space="0" w:color="auto"/>
        <w:bottom w:val="none" w:sz="0" w:space="0" w:color="auto"/>
        <w:right w:val="none" w:sz="0" w:space="0" w:color="auto"/>
      </w:divBdr>
    </w:div>
    <w:div w:id="19926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mson.org/2024/how-low-can-it-go-turnout-is-the-only-unknown-in-iranian-elections/" TargetMode="External"/><Relationship Id="rId13" Type="http://schemas.openxmlformats.org/officeDocument/2006/relationships/chart" Target="charts/chart3.xml"/><Relationship Id="rId18" Type="http://schemas.openxmlformats.org/officeDocument/2006/relationships/chart" Target="charts/chart4.xml"/><Relationship Id="rId26" Type="http://schemas.openxmlformats.org/officeDocument/2006/relationships/hyperlink" Target="https://www.khabaronline.ir/news/1880290/%D9%81%D9%88%D8%B1%DB%8C-%D8%AA%D8%B9%D8%AF%D8%A7%D8%AF-%D8%B1%D8%A3%DB%8C-%DB%B1%DB%B6-%D9%86%D9%85%D8%A7%DB%8C%D9%86%D8%AF%D9%87-%D9%85%D8%AC%D9%84%D8%B3-%D8%AE%D8%A8%D8%B1%DA%AF%D8%A7%D9%86-%D8%B1%D9%87%D8%A8%D8%B1%DB%8C-%D8%AF%D8%B1-%D8%AA%D9%87%D8%B1%D8%A7%D9%86-%D8%A7%D8%B9%D9%84%D8%A7%D9%85-%D8%B4%D8%AF" TargetMode="External"/><Relationship Id="rId3" Type="http://schemas.openxmlformats.org/officeDocument/2006/relationships/settings" Target="settings.xml"/><Relationship Id="rId21" Type="http://schemas.openxmlformats.org/officeDocument/2006/relationships/hyperlink" Target="https://apnews.com/article/iran-parliamentary-election-results-low-turnout-845fabad51eb26bf7fef8087c030f8f8" TargetMode="External"/><Relationship Id="rId7" Type="http://schemas.openxmlformats.org/officeDocument/2006/relationships/hyperlink" Target="https://apnews.com/article/iran-parliamentary-election-results-low-turnout-845fabad51eb26bf7fef8087c030f8f8" TargetMode="External"/><Relationship Id="rId12" Type="http://schemas.openxmlformats.org/officeDocument/2006/relationships/hyperlink" Target="https://donya-e-eqtesad.com/%D8%A8%D8%AE%D8%B4-%D8%B3%D8%A7%DB%8C%D8%AA-%D8%AE%D9%88%D8%A7%D9%86-62/4014255-%D9%85%D9%87%D9%84%D8%AA-%D8%AB%D8%A8%D8%AA-%D9%86%D8%A7%D9%85-%D8%A7%D9%86%D8%AA%D8%AE%D8%A7%D8%A8%D8%A7%D8%AA-%D9%85%D8%AC%D9%84%D8%B3-%D8%A8%D9%87-%D9%BE%D8%A7%DB%8C%D8%A7%D9%86-%D8%B1%D8%B3%DB%8C%D8%AF-%D8%AB%D8%A8%D8%AA-%D9%86%D8%A7%D9%85-%D9%87%D8%B2%D8%A7%D8%B1-%D9%86%D9%81%D8%B1" TargetMode="External"/><Relationship Id="rId17" Type="http://schemas.openxmlformats.org/officeDocument/2006/relationships/hyperlink" Target="https://www.sharghdaily.com/%D8%A8%D8%AE%D8%B4-%D8%B3%DB%8C%D8%A7%D8%B3%D8%AA-6/921429-%DA%86%D9%86%D8%AF-%DA%A9%D8%A7%D9%86%D8%AF%DB%8C%D8%AF%D8%A7%DB%8C-%D9%85%DB%8C%D8%A7%D9%86%D9%87-%D8%B1%D9%88-%D8%B9%D9%84%DB%8C%D9%87-%D8%AA%D9%86%D8%AF%D8%B1%D9%88%DB%8C-%D8%AF%D8%B1-%D8%A7%D9%86%D8%AA%D8%AE%D8%A7%D8%A8%D8%A7%D8%AA-%D9%85%D8%AC%D9%84%D8%B3-%D8%B1%D8%A7%DB%8C-%D8%A2%D9%88%D8%B1%D8%AF%D9%86%D8%AF" TargetMode="External"/><Relationship Id="rId25" Type="http://schemas.openxmlformats.org/officeDocument/2006/relationships/hyperlink" Target="https://arafi.ir/" TargetMode="External"/><Relationship Id="rId2" Type="http://schemas.openxmlformats.org/officeDocument/2006/relationships/styles" Target="styles.xml"/><Relationship Id="rId16" Type="http://schemas.openxmlformats.org/officeDocument/2006/relationships/hyperlink" Target="https://www.moniban.ir/%D8%A8%D8%AE%D8%B4-%D8%B3%DB%8C%D8%A7%D8%B3%DB%8C-3/203296-%D8%A7%D8%B3%D8%A7%D9%85%DB%8C-%DA%A9%D8%A7%D9%86%D8%AF%DB%8C%D8%AF%D8%A7%D9%87%D8%A7%DB%8C%DB%8C-%D8%B9%D9%84%DB%8C%D9%87-%D8%AA%D9%86%D8%AF%D8%B1%D9%88%DB%8C-%D8%AF%D8%B1-%D8%B4%D9%87%D8%B1%D9%87%D8%A7%DB%8C-%D9%85%D8%AE%D8%AA%D9%84%D9%81-%DA%A9%D8%B4%D9%88%D8%B1-%D8%A8%D8%B1%D8%A7%DB%8C-%D8%AC%D9%84%D9%88%DA%AF%DB%8C%D8%B1%DB%8C-%D8%A7%D8%B2-%D8%A8%D8%AF%D8%AA%D8%B1-%D8%B4%D8%AF%D9%86-%D8%B4%D8%B1%D8%A7%DB%8C%D8%B7-%D8%A8%D9%87-%D8%A7%DB%8C%D9%86-%DA%A9%D8%A7%D9%86%D8%AF%DB%8C%D8%AF%D8%A7%D9%87%D8%A7-%D8%B1%D8%A7%DB%8C-%D8%AF%D9%87%DB%8C%D8%AF" TargetMode="External"/><Relationship Id="rId20" Type="http://schemas.openxmlformats.org/officeDocument/2006/relationships/hyperlink" Target="https://en.wikipedia.org/wiki/Mahmoud_Nabavian" TargetMode="External"/><Relationship Id="rId29" Type="http://schemas.openxmlformats.org/officeDocument/2006/relationships/hyperlink" Target="https://irandataportal.syr.edu/postrevolutionary-ir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hyperlink" Target="https://www.entekhab.ir/fa/news/767744/%D8%A2%D9%85%D9%84%DB%8C-%D9%84%D8%A7%D8%B1%DB%8C%D8%AC%D8%A7%D9%86%DB%8C-%D8%B1%D8%A3%DB%8C-%D9%86%DB%8C%D8%A7%D9%88%D8%B1%D8%AF-%D8%B1%D8%A6%DB%8C%D8%B3-%D9%85%D8%AC%D9%85%D8%B9-%D8%AA%D8%B4%D8%AE%DB%8C%D8%B5-%D8%AF%D8%B1-%D9%85%DB%8C%D8%A7%D9%86-%DB%B5-%DA%A9%D8%A7%D9%86%D8%AF%DB%8C%D8%AF%D8%A7-%D9%BE%D9%86%D8%AC%D9%85-%D8%B4%D8%A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habaronline.ir/news/1858687/%DB%B2%DB%B6-%D9%86%D9%85%D8%A7%DB%8C%D9%86%D8%AF%D9%87-%D8%B1%D8%AF%D8%B5%D9%84%D8%A7%D8%AD%DB%8C%D8%AA-%D8%B4%D8%AF%D9%87-%D9%85%D8%AC%D9%84%D8%B3-%DB%8C%D8%A7%D8%B2%D8%AF%D9%87%D9%85-%D8%B3%D8%A7%D8%A8%D9%82%D9%87-%DA%86%D9%86%D8%AF-%D8%AF%D9%88%D8%B1%D9%87-%D8%AD%D8%B6%D9%88%D8%B1-%D8%AF%D8%B1-%D9%BE%D8%A7%D8%B1%D9%84%D9%85%D8%A7%D9%86" TargetMode="External"/><Relationship Id="rId23" Type="http://schemas.openxmlformats.org/officeDocument/2006/relationships/chart" Target="charts/chart5.xml"/><Relationship Id="rId28" Type="http://schemas.openxmlformats.org/officeDocument/2006/relationships/hyperlink" Target="https://www.khabaronline.ir/news/1880168/%D8%B3%D9%88%D9%86%D8%A7%D9%85%DB%8C-%D8%A2%D8%B1%D8%A7%DB%8C-%D8%A8%D8%A7%D8%B7%D9%84%D9%87-%D9%88-%D8%A2%D8%B1%D8%A7%DB%8C-%D8%B3%D9%81%DB%8C%D8%AF-%D8%AF%D8%B1-%D8%AA%D9%87%D8%B1%D8%A7%D9%86-%D9%85%D8%AC%D9%85%D9%88%D8%B9-%D8%A2%D8%B1%D8%A7%D8%A1-%D8%A8%D8%A7%D8%B7%D9%84%D9%87-%D9%85%D8%A3%D8%AE%D9%88%D8%B0%D9%87" TargetMode="External"/><Relationship Id="rId10" Type="http://schemas.openxmlformats.org/officeDocument/2006/relationships/chart" Target="charts/chart1.xml"/><Relationship Id="rId19" Type="http://schemas.openxmlformats.org/officeDocument/2006/relationships/hyperlink" Target="https://twitter.com/websterkaroon/status/176413330873928957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habaronline.ir/news/1879416/%D9%BE%D8%B2%D8%B4%DA%A9%DB%8C%D8%A7%D9%86-%D9%BE%DB%8C%D8%B4%D8%AA%D8%A7%D8%B2-%D8%B4%D8%AF-%D9%82%D8%AF%DB%8C%D9%85%DB%8C-%D9%87%D8%A7-%D8%B1%D8%AC%D8%B9%D8%AA-%DA%A9%D8%B1%D8%AF%D9%86%D8%AF-%D8%A7%D8%B5%D9%88%D9%84%DA%AF%D8%B1%D8%A7%DB%8C%D8%A7%D9%86-%D8%AF%D8%B1-%D8%A7%D9%86%D8%AA%D8%AE%D8%A7%D8%A8%D8%A7%D8%AA" TargetMode="External"/><Relationship Id="rId14" Type="http://schemas.openxmlformats.org/officeDocument/2006/relationships/hyperlink" Target="https://www.isna.ir/news/1402113021811/%D8%AA%D8%B9%D8%AF%D8%A7%D8%AF-%D9%86%D9%87%D8%A7%DB%8C%DB%8C-%DA%A9%D8%A7%D9%86%D8%AF%DB%8C%D8%AF%D8%A7%D9%87%D8%A7%DB%8C-%D8%A7%D9%86%D8%AA%D8%AE%D8%A7%D8%A8%D8%A7%D8%AA-%D9%85%D8%AC%D9%84%D8%B3-%D8%A8%D9%87-%D8%A8%DB%8C%D8%B4-%D8%A7%D8%B2-%DB%B1%DB%B5%D9%87%D8%B2%D8%A7%D8%B1-%D9%88-%DB%B2%DB%B0%DB%B0-%D9%86%D9%81%D8%B1" TargetMode="External"/><Relationship Id="rId22" Type="http://schemas.openxmlformats.org/officeDocument/2006/relationships/hyperlink" Target="https://tinyurl.com/mr2wpk5e" TargetMode="External"/><Relationship Id="rId27" Type="http://schemas.openxmlformats.org/officeDocument/2006/relationships/hyperlink" Target="https://www.khabaronline.ir/news/1879731/%D8%A2%DB%8C%D8%AA-%D8%A7%D9%84%D9%84%D9%87-%D9%85%D8%AD%D8%B3%D9%86-%D9%82%D9%85%DB%8C-%D8%B1%D8%A3%DB%8C-%D8%A7%D9%88%D9%84-%D8%A7%D9%86%D8%AA%D8%AE%D8%A7%D8%A8%D8%A7%D8%AA-%D8%AE%D8%A8%D8%B1%DA%AF%D8%A7%D9%86-%D8%AA%D9%87%D8%B1%D8%A7%D9%86-%DA%A9%DB%8C%D8%B3%D8%AA"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bv44\Dropbox\003-ELITES\TABLES\Elections\Majlis%20Elections\Total%20Eligible%20Voter%20Cou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bv44\Dropbox\003-ELITES\TABLES\Elections\Majlis%20Elections\%25%20Majlis%20Voter%20Turnout%20R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bv44\Dropbox\003-ELITES\TABLES\Elections\Majlis%20Elections\Candidates%20Registered%20vs%20Allowed%20to%20Run%20in%20Majles%20Elec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bv44\Dropbox\003-ELITES\TABLES\Elections\Majlis%20Elections\Candidates%20Approval%20Rate%20Compared%20to%20Voter%20Turnout%20R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bv44\Dropbox\003-ELITES\TABLES\Experts%20Assembly\Experts%20Assembly%20Tables%20&amp;%20Charts\Candidates\Comparison%20of%20Registered%20Candidates%20vs.%20Active%20Participants%20in%20Assembly%20of%20Experts%20Elec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9023836549375708E-2"/>
          <c:y val="0.11447096305404952"/>
          <c:w val="0.82519863791146419"/>
          <c:h val="0.74946083358028648"/>
        </c:manualLayout>
      </c:layout>
      <c:bar3DChart>
        <c:barDir val="col"/>
        <c:grouping val="clustered"/>
        <c:varyColors val="0"/>
        <c:ser>
          <c:idx val="0"/>
          <c:order val="0"/>
          <c:tx>
            <c:strRef>
              <c:f>Sheet1!$B$4</c:f>
              <c:strCache>
                <c:ptCount val="1"/>
              </c:strCache>
            </c:strRef>
          </c:tx>
          <c:spPr>
            <a:solidFill>
              <a:srgbClr val="8080FF"/>
            </a:solidFill>
            <a:ln w="12700">
              <a:solidFill>
                <a:srgbClr val="000000"/>
              </a:solidFill>
              <a:prstDash val="solid"/>
            </a:ln>
          </c:spPr>
          <c:invertIfNegative val="0"/>
          <c:cat>
            <c:numRef>
              <c:f>Sheet1!$A$5:$A$15</c:f>
              <c:numCache>
                <c:formatCode>General</c:formatCode>
                <c:ptCount val="11"/>
                <c:pt idx="0">
                  <c:v>1980</c:v>
                </c:pt>
                <c:pt idx="1">
                  <c:v>1984</c:v>
                </c:pt>
                <c:pt idx="2">
                  <c:v>1988</c:v>
                </c:pt>
                <c:pt idx="3">
                  <c:v>1992</c:v>
                </c:pt>
                <c:pt idx="4">
                  <c:v>1996</c:v>
                </c:pt>
                <c:pt idx="5">
                  <c:v>2000</c:v>
                </c:pt>
                <c:pt idx="6">
                  <c:v>2004</c:v>
                </c:pt>
                <c:pt idx="7">
                  <c:v>2008</c:v>
                </c:pt>
                <c:pt idx="8">
                  <c:v>2012</c:v>
                </c:pt>
                <c:pt idx="9">
                  <c:v>2016</c:v>
                </c:pt>
                <c:pt idx="10">
                  <c:v>2020</c:v>
                </c:pt>
              </c:numCache>
            </c:numRef>
          </c:cat>
          <c:val>
            <c:numRef>
              <c:f>Sheet1!$B$5:$B$15</c:f>
              <c:numCache>
                <c:formatCode>General</c:formatCode>
                <c:ptCount val="11"/>
                <c:pt idx="0">
                  <c:v>20.85</c:v>
                </c:pt>
                <c:pt idx="1">
                  <c:v>24.15</c:v>
                </c:pt>
                <c:pt idx="2">
                  <c:v>27.98</c:v>
                </c:pt>
                <c:pt idx="3">
                  <c:v>32.46</c:v>
                </c:pt>
                <c:pt idx="4">
                  <c:v>34.71</c:v>
                </c:pt>
                <c:pt idx="5">
                  <c:v>38.72</c:v>
                </c:pt>
                <c:pt idx="6">
                  <c:v>46.35</c:v>
                </c:pt>
                <c:pt idx="7">
                  <c:v>43.82</c:v>
                </c:pt>
                <c:pt idx="8">
                  <c:v>48.28</c:v>
                </c:pt>
                <c:pt idx="9">
                  <c:v>54.91</c:v>
                </c:pt>
                <c:pt idx="10">
                  <c:v>57.91</c:v>
                </c:pt>
              </c:numCache>
            </c:numRef>
          </c:val>
          <c:extLst>
            <c:ext xmlns:c16="http://schemas.microsoft.com/office/drawing/2014/chart" uri="{C3380CC4-5D6E-409C-BE32-E72D297353CC}">
              <c16:uniqueId val="{00000000-C9B6-440F-BF65-C3ED1E36AD43}"/>
            </c:ext>
          </c:extLst>
        </c:ser>
        <c:dLbls>
          <c:showLegendKey val="0"/>
          <c:showVal val="0"/>
          <c:showCatName val="0"/>
          <c:showSerName val="0"/>
          <c:showPercent val="0"/>
          <c:showBubbleSize val="0"/>
        </c:dLbls>
        <c:gapWidth val="150"/>
        <c:gapDepth val="0"/>
        <c:shape val="box"/>
        <c:axId val="28534128"/>
        <c:axId val="1"/>
        <c:axId val="0"/>
      </c:bar3DChart>
      <c:catAx>
        <c:axId val="28534128"/>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44948921679909193"/>
              <c:y val="0.91360787494081031"/>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
        <c:crosses val="autoZero"/>
        <c:auto val="0"/>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en-US"/>
                  <a:t>Millions</a:t>
                </a:r>
              </a:p>
            </c:rich>
          </c:tx>
          <c:layout>
            <c:manualLayout>
              <c:xMode val="edge"/>
              <c:yMode val="edge"/>
              <c:x val="3.9895013123359578E-3"/>
              <c:y val="0.4500689381275024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2853412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4728642886528"/>
          <c:y val="7.2201808107319923E-2"/>
          <c:w val="0.76801068377342296"/>
          <c:h val="0.76723580605055952"/>
        </c:manualLayout>
      </c:layout>
      <c:lineChart>
        <c:grouping val="standard"/>
        <c:varyColors val="0"/>
        <c:ser>
          <c:idx val="0"/>
          <c:order val="0"/>
          <c:tx>
            <c:strRef>
              <c:f>Sheet1!$C$4</c:f>
              <c:strCache>
                <c:ptCount val="1"/>
              </c:strCache>
            </c:strRef>
          </c:tx>
          <c:spPr>
            <a:ln w="12700">
              <a:solidFill>
                <a:srgbClr val="000000"/>
              </a:solidFill>
              <a:prstDash val="solid"/>
            </a:ln>
          </c:spPr>
          <c:marker>
            <c:symbol val="none"/>
          </c:marker>
          <c:cat>
            <c:numRef>
              <c:f>Sheet1!$A$5:$A$16</c:f>
              <c:numCache>
                <c:formatCode>General</c:formatCode>
                <c:ptCount val="12"/>
                <c:pt idx="0">
                  <c:v>1980</c:v>
                </c:pt>
                <c:pt idx="1">
                  <c:v>1984</c:v>
                </c:pt>
                <c:pt idx="2">
                  <c:v>1988</c:v>
                </c:pt>
                <c:pt idx="3">
                  <c:v>1992</c:v>
                </c:pt>
                <c:pt idx="4">
                  <c:v>1996</c:v>
                </c:pt>
                <c:pt idx="5">
                  <c:v>2000</c:v>
                </c:pt>
                <c:pt idx="6">
                  <c:v>2004</c:v>
                </c:pt>
                <c:pt idx="7">
                  <c:v>2008</c:v>
                </c:pt>
                <c:pt idx="8">
                  <c:v>2012</c:v>
                </c:pt>
                <c:pt idx="9">
                  <c:v>2016</c:v>
                </c:pt>
                <c:pt idx="10">
                  <c:v>2020</c:v>
                </c:pt>
                <c:pt idx="11">
                  <c:v>2024</c:v>
                </c:pt>
              </c:numCache>
            </c:numRef>
          </c:cat>
          <c:val>
            <c:numRef>
              <c:f>Sheet1!$C$5:$C$16</c:f>
              <c:numCache>
                <c:formatCode>0</c:formatCode>
                <c:ptCount val="12"/>
                <c:pt idx="0">
                  <c:v>52.1</c:v>
                </c:pt>
                <c:pt idx="1">
                  <c:v>64.599999999999994</c:v>
                </c:pt>
                <c:pt idx="2">
                  <c:v>59.7</c:v>
                </c:pt>
                <c:pt idx="3">
                  <c:v>54</c:v>
                </c:pt>
                <c:pt idx="4">
                  <c:v>71.099999999999994</c:v>
                </c:pt>
                <c:pt idx="5">
                  <c:v>67.3</c:v>
                </c:pt>
                <c:pt idx="6">
                  <c:v>51.21</c:v>
                </c:pt>
                <c:pt idx="7">
                  <c:v>51</c:v>
                </c:pt>
                <c:pt idx="8">
                  <c:v>63.8</c:v>
                </c:pt>
                <c:pt idx="9">
                  <c:v>60</c:v>
                </c:pt>
                <c:pt idx="10">
                  <c:v>42.5</c:v>
                </c:pt>
                <c:pt idx="11">
                  <c:v>41</c:v>
                </c:pt>
              </c:numCache>
            </c:numRef>
          </c:val>
          <c:smooth val="0"/>
          <c:extLst>
            <c:ext xmlns:c16="http://schemas.microsoft.com/office/drawing/2014/chart" uri="{C3380CC4-5D6E-409C-BE32-E72D297353CC}">
              <c16:uniqueId val="{00000000-2B0B-4F05-9E51-4891F9A629EB}"/>
            </c:ext>
          </c:extLst>
        </c:ser>
        <c:ser>
          <c:idx val="1"/>
          <c:order val="1"/>
          <c:tx>
            <c:strRef>
              <c:f>Sheet1!$D$4</c:f>
              <c:strCache>
                <c:ptCount val="1"/>
              </c:strCache>
            </c:strRef>
          </c:tx>
          <c:marker>
            <c:symbol val="none"/>
          </c:marker>
          <c:cat>
            <c:numRef>
              <c:f>Sheet1!$A$5:$A$16</c:f>
              <c:numCache>
                <c:formatCode>General</c:formatCode>
                <c:ptCount val="12"/>
                <c:pt idx="0">
                  <c:v>1980</c:v>
                </c:pt>
                <c:pt idx="1">
                  <c:v>1984</c:v>
                </c:pt>
                <c:pt idx="2">
                  <c:v>1988</c:v>
                </c:pt>
                <c:pt idx="3">
                  <c:v>1992</c:v>
                </c:pt>
                <c:pt idx="4">
                  <c:v>1996</c:v>
                </c:pt>
                <c:pt idx="5">
                  <c:v>2000</c:v>
                </c:pt>
                <c:pt idx="6">
                  <c:v>2004</c:v>
                </c:pt>
                <c:pt idx="7">
                  <c:v>2008</c:v>
                </c:pt>
                <c:pt idx="8">
                  <c:v>2012</c:v>
                </c:pt>
                <c:pt idx="9">
                  <c:v>2016</c:v>
                </c:pt>
                <c:pt idx="10">
                  <c:v>2020</c:v>
                </c:pt>
                <c:pt idx="11">
                  <c:v>2024</c:v>
                </c:pt>
              </c:numCache>
            </c:numRef>
          </c:cat>
          <c:val>
            <c:numRef>
              <c:f>Sheet1!$D$5:$D$16</c:f>
              <c:numCache>
                <c:formatCode>General</c:formatCode>
                <c:ptCount val="12"/>
              </c:numCache>
            </c:numRef>
          </c:val>
          <c:smooth val="0"/>
          <c:extLst>
            <c:ext xmlns:c16="http://schemas.microsoft.com/office/drawing/2014/chart" uri="{C3380CC4-5D6E-409C-BE32-E72D297353CC}">
              <c16:uniqueId val="{00000001-2B0B-4F05-9E51-4891F9A629EB}"/>
            </c:ext>
          </c:extLst>
        </c:ser>
        <c:dLbls>
          <c:showLegendKey val="0"/>
          <c:showVal val="0"/>
          <c:showCatName val="0"/>
          <c:showSerName val="0"/>
          <c:showPercent val="0"/>
          <c:showBubbleSize val="0"/>
        </c:dLbls>
        <c:smooth val="0"/>
        <c:axId val="1546406095"/>
        <c:axId val="1"/>
      </c:lineChart>
      <c:catAx>
        <c:axId val="1546406095"/>
        <c:scaling>
          <c:orientation val="minMax"/>
        </c:scaling>
        <c:delete val="0"/>
        <c:axPos val="b"/>
        <c:title>
          <c:tx>
            <c:rich>
              <a:bodyPr rot="0" vert="horz"/>
              <a:lstStyle/>
              <a:p>
                <a:pPr>
                  <a:defRPr sz="8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4777104211405393"/>
              <c:y val="0.93327529320272873"/>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
        <c:crossesAt val="0"/>
        <c:auto val="0"/>
        <c:lblAlgn val="ctr"/>
        <c:lblOffset val="100"/>
        <c:noMultiLvlLbl val="0"/>
      </c:catAx>
      <c:valAx>
        <c:axId val="1"/>
        <c:scaling>
          <c:orientation val="minMax"/>
          <c:max val="100"/>
        </c:scaling>
        <c:delete val="0"/>
        <c:axPos val="l"/>
        <c:title>
          <c:tx>
            <c:rich>
              <a:bodyPr rot="-5400000" vert="horz"/>
              <a:lstStyle/>
              <a:p>
                <a:pPr>
                  <a:defRPr sz="800" b="1" i="0" u="none" strike="noStrike" baseline="0">
                    <a:solidFill>
                      <a:srgbClr val="000000"/>
                    </a:solidFill>
                    <a:latin typeface="Times New Roman"/>
                    <a:ea typeface="Times New Roman"/>
                    <a:cs typeface="Times New Roman"/>
                  </a:defRPr>
                </a:pPr>
                <a:r>
                  <a:rPr lang="en-US"/>
                  <a:t>Percentage</a:t>
                </a:r>
              </a:p>
            </c:rich>
          </c:tx>
          <c:layout>
            <c:manualLayout>
              <c:xMode val="edge"/>
              <c:yMode val="edge"/>
              <c:x val="2.3409622435327886E-2"/>
              <c:y val="0.41195140640099726"/>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1546406095"/>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25277609529578"/>
          <c:y val="6.0428316025714163E-2"/>
          <c:w val="0.85989097516656587"/>
          <c:h val="0.7790098520293659"/>
        </c:manualLayout>
      </c:layout>
      <c:bar3DChart>
        <c:barDir val="col"/>
        <c:grouping val="clustered"/>
        <c:varyColors val="0"/>
        <c:ser>
          <c:idx val="0"/>
          <c:order val="0"/>
          <c:tx>
            <c:strRef>
              <c:f>Sheet1!$B$4</c:f>
              <c:strCache>
                <c:ptCount val="1"/>
                <c:pt idx="0">
                  <c:v># of Registered Candidates</c:v>
                </c:pt>
              </c:strCache>
            </c:strRef>
          </c:tx>
          <c:spPr>
            <a:solidFill>
              <a:srgbClr val="8080FF"/>
            </a:solidFill>
            <a:ln w="12700">
              <a:solidFill>
                <a:srgbClr val="000000"/>
              </a:solidFill>
              <a:prstDash val="solid"/>
            </a:ln>
          </c:spPr>
          <c:invertIfNegative val="0"/>
          <c:cat>
            <c:strRef>
              <c:f>Sheet1!$A$5:$A$16</c:f>
              <c:strCache>
                <c:ptCount val="12"/>
                <c:pt idx="0">
                  <c:v>1980-84</c:v>
                </c:pt>
                <c:pt idx="1">
                  <c:v>1984-88</c:v>
                </c:pt>
                <c:pt idx="2">
                  <c:v>1988-92</c:v>
                </c:pt>
                <c:pt idx="3">
                  <c:v>1992-96</c:v>
                </c:pt>
                <c:pt idx="4">
                  <c:v>1996-00</c:v>
                </c:pt>
                <c:pt idx="5">
                  <c:v>2000-04</c:v>
                </c:pt>
                <c:pt idx="6">
                  <c:v>2004-08</c:v>
                </c:pt>
                <c:pt idx="7">
                  <c:v>2008-12</c:v>
                </c:pt>
                <c:pt idx="8">
                  <c:v>2012-16</c:v>
                </c:pt>
                <c:pt idx="9">
                  <c:v>2016-20</c:v>
                </c:pt>
                <c:pt idx="10">
                  <c:v>2020-24</c:v>
                </c:pt>
                <c:pt idx="11">
                  <c:v>2024-28</c:v>
                </c:pt>
              </c:strCache>
            </c:strRef>
          </c:cat>
          <c:val>
            <c:numRef>
              <c:f>Sheet1!$B$5:$B$16</c:f>
              <c:numCache>
                <c:formatCode>0</c:formatCode>
                <c:ptCount val="12"/>
                <c:pt idx="0">
                  <c:v>3694</c:v>
                </c:pt>
                <c:pt idx="1">
                  <c:v>1586</c:v>
                </c:pt>
                <c:pt idx="2">
                  <c:v>1999</c:v>
                </c:pt>
                <c:pt idx="3">
                  <c:v>3110</c:v>
                </c:pt>
                <c:pt idx="4">
                  <c:v>5365</c:v>
                </c:pt>
                <c:pt idx="5">
                  <c:v>6853</c:v>
                </c:pt>
                <c:pt idx="6">
                  <c:v>8169</c:v>
                </c:pt>
                <c:pt idx="7">
                  <c:v>7597</c:v>
                </c:pt>
                <c:pt idx="8">
                  <c:v>5405</c:v>
                </c:pt>
                <c:pt idx="9">
                  <c:v>12123</c:v>
                </c:pt>
                <c:pt idx="10">
                  <c:v>16145</c:v>
                </c:pt>
                <c:pt idx="11">
                  <c:v>24829</c:v>
                </c:pt>
              </c:numCache>
            </c:numRef>
          </c:val>
          <c:extLst>
            <c:ext xmlns:c16="http://schemas.microsoft.com/office/drawing/2014/chart" uri="{C3380CC4-5D6E-409C-BE32-E72D297353CC}">
              <c16:uniqueId val="{00000000-95AC-40BC-94B5-3BB64771223F}"/>
            </c:ext>
          </c:extLst>
        </c:ser>
        <c:ser>
          <c:idx val="1"/>
          <c:order val="1"/>
          <c:tx>
            <c:strRef>
              <c:f>Sheet1!$C$4</c:f>
              <c:strCache>
                <c:ptCount val="1"/>
                <c:pt idx="0">
                  <c:v># of Eligible Candidates </c:v>
                </c:pt>
              </c:strCache>
            </c:strRef>
          </c:tx>
          <c:invertIfNegative val="0"/>
          <c:cat>
            <c:strRef>
              <c:f>Sheet1!$A$5:$A$16</c:f>
              <c:strCache>
                <c:ptCount val="12"/>
                <c:pt idx="0">
                  <c:v>1980-84</c:v>
                </c:pt>
                <c:pt idx="1">
                  <c:v>1984-88</c:v>
                </c:pt>
                <c:pt idx="2">
                  <c:v>1988-92</c:v>
                </c:pt>
                <c:pt idx="3">
                  <c:v>1992-96</c:v>
                </c:pt>
                <c:pt idx="4">
                  <c:v>1996-00</c:v>
                </c:pt>
                <c:pt idx="5">
                  <c:v>2000-04</c:v>
                </c:pt>
                <c:pt idx="6">
                  <c:v>2004-08</c:v>
                </c:pt>
                <c:pt idx="7">
                  <c:v>2008-12</c:v>
                </c:pt>
                <c:pt idx="8">
                  <c:v>2012-16</c:v>
                </c:pt>
                <c:pt idx="9">
                  <c:v>2016-20</c:v>
                </c:pt>
                <c:pt idx="10">
                  <c:v>2020-24</c:v>
                </c:pt>
                <c:pt idx="11">
                  <c:v>2024-28</c:v>
                </c:pt>
              </c:strCache>
            </c:strRef>
          </c:cat>
          <c:val>
            <c:numRef>
              <c:f>Sheet1!$C$5:$C$16</c:f>
              <c:numCache>
                <c:formatCode>#,##0</c:formatCode>
                <c:ptCount val="12"/>
                <c:pt idx="0">
                  <c:v>1910</c:v>
                </c:pt>
                <c:pt idx="1">
                  <c:v>1275</c:v>
                </c:pt>
                <c:pt idx="2">
                  <c:v>1417</c:v>
                </c:pt>
                <c:pt idx="3">
                  <c:v>2310</c:v>
                </c:pt>
                <c:pt idx="4">
                  <c:v>3276</c:v>
                </c:pt>
                <c:pt idx="5">
                  <c:v>5083</c:v>
                </c:pt>
                <c:pt idx="6">
                  <c:v>5600</c:v>
                </c:pt>
                <c:pt idx="7">
                  <c:v>4476</c:v>
                </c:pt>
                <c:pt idx="8">
                  <c:v>3323</c:v>
                </c:pt>
                <c:pt idx="9">
                  <c:v>4850</c:v>
                </c:pt>
                <c:pt idx="10">
                  <c:v>5232</c:v>
                </c:pt>
                <c:pt idx="11">
                  <c:v>15200</c:v>
                </c:pt>
              </c:numCache>
            </c:numRef>
          </c:val>
          <c:extLst>
            <c:ext xmlns:c16="http://schemas.microsoft.com/office/drawing/2014/chart" uri="{C3380CC4-5D6E-409C-BE32-E72D297353CC}">
              <c16:uniqueId val="{00000001-95AC-40BC-94B5-3BB64771223F}"/>
            </c:ext>
          </c:extLst>
        </c:ser>
        <c:dLbls>
          <c:showLegendKey val="0"/>
          <c:showVal val="0"/>
          <c:showCatName val="0"/>
          <c:showSerName val="0"/>
          <c:showPercent val="0"/>
          <c:showBubbleSize val="0"/>
        </c:dLbls>
        <c:gapWidth val="150"/>
        <c:gapDepth val="0"/>
        <c:shape val="box"/>
        <c:axId val="575083288"/>
        <c:axId val="575083680"/>
        <c:axId val="0"/>
      </c:bar3DChart>
      <c:catAx>
        <c:axId val="575083288"/>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49447990235598976"/>
              <c:y val="0.93376959428040884"/>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75083680"/>
        <c:crosses val="autoZero"/>
        <c:auto val="0"/>
        <c:lblAlgn val="ctr"/>
        <c:lblOffset val="100"/>
        <c:tickLblSkip val="1"/>
        <c:tickMarkSkip val="1"/>
        <c:noMultiLvlLbl val="0"/>
      </c:catAx>
      <c:valAx>
        <c:axId val="57508368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en-US"/>
                  <a:t>Number</a:t>
                </a:r>
              </a:p>
            </c:rich>
          </c:tx>
          <c:layout>
            <c:manualLayout>
              <c:xMode val="edge"/>
              <c:yMode val="edge"/>
              <c:x val="3.1462918096776371E-2"/>
              <c:y val="0.4422789226384986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75083288"/>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9707248132444984E-2"/>
          <c:y val="6.2759825359063423E-2"/>
          <c:w val="0.80219866747425816"/>
          <c:h val="0.77667781203880826"/>
        </c:manualLayout>
      </c:layout>
      <c:bar3DChart>
        <c:barDir val="col"/>
        <c:grouping val="clustered"/>
        <c:varyColors val="0"/>
        <c:ser>
          <c:idx val="0"/>
          <c:order val="0"/>
          <c:tx>
            <c:strRef>
              <c:f>Sheet1!#REF!</c:f>
              <c:strCache>
                <c:ptCount val="1"/>
                <c:pt idx="0">
                  <c:v>#REF!</c:v>
                </c:pt>
              </c:strCache>
            </c:strRef>
          </c:tx>
          <c:spPr>
            <a:solidFill>
              <a:srgbClr val="8080FF"/>
            </a:solidFill>
            <a:ln w="12700">
              <a:solidFill>
                <a:srgbClr val="000000"/>
              </a:solidFill>
              <a:prstDash val="solid"/>
            </a:ln>
          </c:spPr>
          <c:invertIfNegative val="0"/>
          <c:cat>
            <c:strRef>
              <c:f>Sheet1!$A$5:$A$16</c:f>
              <c:strCache>
                <c:ptCount val="12"/>
                <c:pt idx="0">
                  <c:v>1980-84</c:v>
                </c:pt>
                <c:pt idx="1">
                  <c:v>1984-88</c:v>
                </c:pt>
                <c:pt idx="2">
                  <c:v>1988-92</c:v>
                </c:pt>
                <c:pt idx="3">
                  <c:v>1992-96</c:v>
                </c:pt>
                <c:pt idx="4">
                  <c:v>1996-00</c:v>
                </c:pt>
                <c:pt idx="5">
                  <c:v>2000-04</c:v>
                </c:pt>
                <c:pt idx="6">
                  <c:v>2004-08</c:v>
                </c:pt>
                <c:pt idx="7">
                  <c:v>2008-12</c:v>
                </c:pt>
                <c:pt idx="8">
                  <c:v>2012-16</c:v>
                </c:pt>
                <c:pt idx="9">
                  <c:v>2016-20</c:v>
                </c:pt>
                <c:pt idx="10">
                  <c:v>2020-24</c:v>
                </c:pt>
                <c:pt idx="11">
                  <c:v>2024-28</c:v>
                </c:pt>
              </c:strCache>
            </c:strRef>
          </c:cat>
          <c:val>
            <c:numRef>
              <c:f>Sheet1!#REF!</c:f>
              <c:numCache>
                <c:formatCode>General</c:formatCode>
                <c:ptCount val="1"/>
                <c:pt idx="0">
                  <c:v>1</c:v>
                </c:pt>
              </c:numCache>
            </c:numRef>
          </c:val>
          <c:extLst>
            <c:ext xmlns:c16="http://schemas.microsoft.com/office/drawing/2014/chart" uri="{C3380CC4-5D6E-409C-BE32-E72D297353CC}">
              <c16:uniqueId val="{00000000-CF19-43BD-9E7D-8D8E069A7F94}"/>
            </c:ext>
          </c:extLst>
        </c:ser>
        <c:ser>
          <c:idx val="1"/>
          <c:order val="1"/>
          <c:tx>
            <c:strRef>
              <c:f>Sheet1!$B$4</c:f>
              <c:strCache>
                <c:ptCount val="1"/>
                <c:pt idx="0">
                  <c:v>Voter Turnout Rate</c:v>
                </c:pt>
              </c:strCache>
            </c:strRef>
          </c:tx>
          <c:invertIfNegative val="0"/>
          <c:cat>
            <c:strRef>
              <c:f>Sheet1!$A$5:$A$16</c:f>
              <c:strCache>
                <c:ptCount val="12"/>
                <c:pt idx="0">
                  <c:v>1980-84</c:v>
                </c:pt>
                <c:pt idx="1">
                  <c:v>1984-88</c:v>
                </c:pt>
                <c:pt idx="2">
                  <c:v>1988-92</c:v>
                </c:pt>
                <c:pt idx="3">
                  <c:v>1992-96</c:v>
                </c:pt>
                <c:pt idx="4">
                  <c:v>1996-00</c:v>
                </c:pt>
                <c:pt idx="5">
                  <c:v>2000-04</c:v>
                </c:pt>
                <c:pt idx="6">
                  <c:v>2004-08</c:v>
                </c:pt>
                <c:pt idx="7">
                  <c:v>2008-12</c:v>
                </c:pt>
                <c:pt idx="8">
                  <c:v>2012-16</c:v>
                </c:pt>
                <c:pt idx="9">
                  <c:v>2016-20</c:v>
                </c:pt>
                <c:pt idx="10">
                  <c:v>2020-24</c:v>
                </c:pt>
                <c:pt idx="11">
                  <c:v>2024-28</c:v>
                </c:pt>
              </c:strCache>
            </c:strRef>
          </c:cat>
          <c:val>
            <c:numRef>
              <c:f>Sheet1!$B$5:$B$16</c:f>
              <c:numCache>
                <c:formatCode>0</c:formatCode>
                <c:ptCount val="12"/>
                <c:pt idx="0">
                  <c:v>52.1</c:v>
                </c:pt>
                <c:pt idx="1">
                  <c:v>64.599999999999994</c:v>
                </c:pt>
                <c:pt idx="2">
                  <c:v>59.7</c:v>
                </c:pt>
                <c:pt idx="3">
                  <c:v>54</c:v>
                </c:pt>
                <c:pt idx="4">
                  <c:v>71.099999999999994</c:v>
                </c:pt>
                <c:pt idx="5">
                  <c:v>67.3</c:v>
                </c:pt>
                <c:pt idx="6">
                  <c:v>51.21</c:v>
                </c:pt>
                <c:pt idx="7">
                  <c:v>51</c:v>
                </c:pt>
                <c:pt idx="8">
                  <c:v>63.8</c:v>
                </c:pt>
                <c:pt idx="9">
                  <c:v>60</c:v>
                </c:pt>
                <c:pt idx="10">
                  <c:v>42.5</c:v>
                </c:pt>
                <c:pt idx="11" formatCode="#,##0">
                  <c:v>41</c:v>
                </c:pt>
              </c:numCache>
            </c:numRef>
          </c:val>
          <c:extLst>
            <c:ext xmlns:c16="http://schemas.microsoft.com/office/drawing/2014/chart" uri="{C3380CC4-5D6E-409C-BE32-E72D297353CC}">
              <c16:uniqueId val="{00000001-CF19-43BD-9E7D-8D8E069A7F94}"/>
            </c:ext>
          </c:extLst>
        </c:ser>
        <c:ser>
          <c:idx val="2"/>
          <c:order val="2"/>
          <c:tx>
            <c:strRef>
              <c:f>Sheet1!$C$4</c:f>
              <c:strCache>
                <c:ptCount val="1"/>
                <c:pt idx="0">
                  <c:v>% of Eligible Candidates</c:v>
                </c:pt>
              </c:strCache>
            </c:strRef>
          </c:tx>
          <c:invertIfNegative val="0"/>
          <c:cat>
            <c:strRef>
              <c:f>Sheet1!$A$5:$A$16</c:f>
              <c:strCache>
                <c:ptCount val="12"/>
                <c:pt idx="0">
                  <c:v>1980-84</c:v>
                </c:pt>
                <c:pt idx="1">
                  <c:v>1984-88</c:v>
                </c:pt>
                <c:pt idx="2">
                  <c:v>1988-92</c:v>
                </c:pt>
                <c:pt idx="3">
                  <c:v>1992-96</c:v>
                </c:pt>
                <c:pt idx="4">
                  <c:v>1996-00</c:v>
                </c:pt>
                <c:pt idx="5">
                  <c:v>2000-04</c:v>
                </c:pt>
                <c:pt idx="6">
                  <c:v>2004-08</c:v>
                </c:pt>
                <c:pt idx="7">
                  <c:v>2008-12</c:v>
                </c:pt>
                <c:pt idx="8">
                  <c:v>2012-16</c:v>
                </c:pt>
                <c:pt idx="9">
                  <c:v>2016-20</c:v>
                </c:pt>
                <c:pt idx="10">
                  <c:v>2020-24</c:v>
                </c:pt>
                <c:pt idx="11">
                  <c:v>2024-28</c:v>
                </c:pt>
              </c:strCache>
            </c:strRef>
          </c:cat>
          <c:val>
            <c:numRef>
              <c:f>Sheet1!$C$5:$C$16</c:f>
              <c:numCache>
                <c:formatCode>#,##0</c:formatCode>
                <c:ptCount val="12"/>
                <c:pt idx="0">
                  <c:v>51.7</c:v>
                </c:pt>
                <c:pt idx="1">
                  <c:v>80</c:v>
                </c:pt>
                <c:pt idx="2">
                  <c:v>70.7</c:v>
                </c:pt>
                <c:pt idx="3">
                  <c:v>74</c:v>
                </c:pt>
                <c:pt idx="4">
                  <c:v>61</c:v>
                </c:pt>
                <c:pt idx="5">
                  <c:v>74</c:v>
                </c:pt>
                <c:pt idx="6">
                  <c:v>67</c:v>
                </c:pt>
                <c:pt idx="7">
                  <c:v>59</c:v>
                </c:pt>
                <c:pt idx="8">
                  <c:v>61.4</c:v>
                </c:pt>
                <c:pt idx="9">
                  <c:v>40</c:v>
                </c:pt>
                <c:pt idx="10">
                  <c:v>32</c:v>
                </c:pt>
                <c:pt idx="11" formatCode="General">
                  <c:v>61</c:v>
                </c:pt>
              </c:numCache>
            </c:numRef>
          </c:val>
          <c:extLst>
            <c:ext xmlns:c16="http://schemas.microsoft.com/office/drawing/2014/chart" uri="{C3380CC4-5D6E-409C-BE32-E72D297353CC}">
              <c16:uniqueId val="{00000002-CF19-43BD-9E7D-8D8E069A7F94}"/>
            </c:ext>
          </c:extLst>
        </c:ser>
        <c:dLbls>
          <c:showLegendKey val="0"/>
          <c:showVal val="0"/>
          <c:showCatName val="0"/>
          <c:showSerName val="0"/>
          <c:showPercent val="0"/>
          <c:showBubbleSize val="0"/>
        </c:dLbls>
        <c:gapWidth val="150"/>
        <c:gapDepth val="0"/>
        <c:shape val="box"/>
        <c:axId val="575083288"/>
        <c:axId val="575083680"/>
        <c:axId val="0"/>
      </c:bar3DChart>
      <c:catAx>
        <c:axId val="575083288"/>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47899757722592368"/>
              <c:y val="0.93025923376921316"/>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75083680"/>
        <c:crosses val="autoZero"/>
        <c:auto val="0"/>
        <c:lblAlgn val="ctr"/>
        <c:lblOffset val="100"/>
        <c:tickLblSkip val="1"/>
        <c:tickMarkSkip val="1"/>
        <c:noMultiLvlLbl val="0"/>
      </c:catAx>
      <c:valAx>
        <c:axId val="575083680"/>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en-US"/>
                  <a:t>Number</a:t>
                </a:r>
              </a:p>
            </c:rich>
          </c:tx>
          <c:layout>
            <c:manualLayout>
              <c:xMode val="edge"/>
              <c:yMode val="edge"/>
              <c:x val="2.8291944276196249E-2"/>
              <c:y val="0.4545671639634171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575083288"/>
        <c:crosses val="autoZero"/>
        <c:crossBetween val="between"/>
      </c:valAx>
      <c:spPr>
        <a:noFill/>
        <a:ln w="25400">
          <a:noFill/>
        </a:ln>
      </c:spPr>
    </c:plotArea>
    <c:legend>
      <c:legendPos val="r"/>
      <c:legendEntry>
        <c:idx val="0"/>
        <c:delete val="1"/>
      </c:legendEntry>
      <c:layout>
        <c:manualLayout>
          <c:xMode val="edge"/>
          <c:yMode val="edge"/>
          <c:x val="0.89765209637256882"/>
          <c:y val="0.32958364719207073"/>
          <c:w val="9.7793256612154267E-2"/>
          <c:h val="0.29757710086652112"/>
        </c:manualLayout>
      </c:layout>
      <c:overlay val="0"/>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2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3389535199695654"/>
          <c:y val="3.4344304607353437E-2"/>
          <c:w val="0.76801068377342296"/>
          <c:h val="0.80509375386248461"/>
        </c:manualLayout>
      </c:layout>
      <c:bar3DChart>
        <c:barDir val="col"/>
        <c:grouping val="clustered"/>
        <c:varyColors val="0"/>
        <c:ser>
          <c:idx val="0"/>
          <c:order val="0"/>
          <c:tx>
            <c:strRef>
              <c:f>Sheet1!$B$4</c:f>
              <c:strCache>
                <c:ptCount val="1"/>
                <c:pt idx="0">
                  <c:v>Registered Candidates</c:v>
                </c:pt>
              </c:strCache>
            </c:strRef>
          </c:tx>
          <c:spPr>
            <a:solidFill>
              <a:srgbClr val="8080FF"/>
            </a:solidFill>
            <a:ln w="12700">
              <a:solidFill>
                <a:srgbClr val="000000"/>
              </a:solidFill>
              <a:prstDash val="solid"/>
            </a:ln>
          </c:spPr>
          <c:invertIfNegative val="0"/>
          <c:cat>
            <c:numRef>
              <c:f>Sheet1!$A$5:$A$10</c:f>
              <c:numCache>
                <c:formatCode>General</c:formatCode>
                <c:ptCount val="6"/>
                <c:pt idx="0">
                  <c:v>1982</c:v>
                </c:pt>
                <c:pt idx="1">
                  <c:v>1990</c:v>
                </c:pt>
                <c:pt idx="2">
                  <c:v>1998</c:v>
                </c:pt>
                <c:pt idx="3">
                  <c:v>2006</c:v>
                </c:pt>
                <c:pt idx="4">
                  <c:v>2016</c:v>
                </c:pt>
                <c:pt idx="5">
                  <c:v>2024</c:v>
                </c:pt>
              </c:numCache>
            </c:numRef>
          </c:cat>
          <c:val>
            <c:numRef>
              <c:f>Sheet1!$B$5:$B$10</c:f>
              <c:numCache>
                <c:formatCode>0</c:formatCode>
                <c:ptCount val="6"/>
                <c:pt idx="0">
                  <c:v>168</c:v>
                </c:pt>
                <c:pt idx="1">
                  <c:v>180</c:v>
                </c:pt>
                <c:pt idx="2">
                  <c:v>396</c:v>
                </c:pt>
                <c:pt idx="3">
                  <c:v>493</c:v>
                </c:pt>
                <c:pt idx="4">
                  <c:v>796</c:v>
                </c:pt>
                <c:pt idx="5">
                  <c:v>510</c:v>
                </c:pt>
              </c:numCache>
            </c:numRef>
          </c:val>
          <c:extLst>
            <c:ext xmlns:c16="http://schemas.microsoft.com/office/drawing/2014/chart" uri="{C3380CC4-5D6E-409C-BE32-E72D297353CC}">
              <c16:uniqueId val="{00000000-1414-4A80-B6EB-5430793C61CE}"/>
            </c:ext>
          </c:extLst>
        </c:ser>
        <c:ser>
          <c:idx val="1"/>
          <c:order val="1"/>
          <c:tx>
            <c:strRef>
              <c:f>Sheet1!$C$4</c:f>
              <c:strCache>
                <c:ptCount val="1"/>
                <c:pt idx="0">
                  <c:v>Active Participants</c:v>
                </c:pt>
              </c:strCache>
            </c:strRef>
          </c:tx>
          <c:invertIfNegative val="0"/>
          <c:cat>
            <c:numRef>
              <c:f>Sheet1!$A$5:$A$10</c:f>
              <c:numCache>
                <c:formatCode>General</c:formatCode>
                <c:ptCount val="6"/>
                <c:pt idx="0">
                  <c:v>1982</c:v>
                </c:pt>
                <c:pt idx="1">
                  <c:v>1990</c:v>
                </c:pt>
                <c:pt idx="2">
                  <c:v>1998</c:v>
                </c:pt>
                <c:pt idx="3">
                  <c:v>2006</c:v>
                </c:pt>
                <c:pt idx="4">
                  <c:v>2016</c:v>
                </c:pt>
                <c:pt idx="5">
                  <c:v>2024</c:v>
                </c:pt>
              </c:numCache>
            </c:numRef>
          </c:cat>
          <c:val>
            <c:numRef>
              <c:f>Sheet1!$C$5:$C$10</c:f>
              <c:numCache>
                <c:formatCode>#,##0</c:formatCode>
                <c:ptCount val="6"/>
                <c:pt idx="0">
                  <c:v>146</c:v>
                </c:pt>
                <c:pt idx="1">
                  <c:v>106</c:v>
                </c:pt>
                <c:pt idx="2">
                  <c:v>146</c:v>
                </c:pt>
                <c:pt idx="3">
                  <c:v>167</c:v>
                </c:pt>
                <c:pt idx="4">
                  <c:v>161</c:v>
                </c:pt>
                <c:pt idx="5">
                  <c:v>144</c:v>
                </c:pt>
              </c:numCache>
            </c:numRef>
          </c:val>
          <c:extLst>
            <c:ext xmlns:c16="http://schemas.microsoft.com/office/drawing/2014/chart" uri="{C3380CC4-5D6E-409C-BE32-E72D297353CC}">
              <c16:uniqueId val="{00000001-1414-4A80-B6EB-5430793C61CE}"/>
            </c:ext>
          </c:extLst>
        </c:ser>
        <c:dLbls>
          <c:showLegendKey val="0"/>
          <c:showVal val="0"/>
          <c:showCatName val="0"/>
          <c:showSerName val="0"/>
          <c:showPercent val="0"/>
          <c:showBubbleSize val="0"/>
        </c:dLbls>
        <c:gapWidth val="150"/>
        <c:gapDepth val="0"/>
        <c:shape val="box"/>
        <c:axId val="208057040"/>
        <c:axId val="208122056"/>
        <c:axId val="0"/>
      </c:bar3DChart>
      <c:catAx>
        <c:axId val="208057040"/>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Year</a:t>
                </a:r>
              </a:p>
            </c:rich>
          </c:tx>
          <c:layout>
            <c:manualLayout>
              <c:xMode val="edge"/>
              <c:yMode val="edge"/>
              <c:x val="0.4871801181102362"/>
              <c:y val="0.90422663670309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208122056"/>
        <c:crosses val="autoZero"/>
        <c:auto val="0"/>
        <c:lblAlgn val="ctr"/>
        <c:lblOffset val="100"/>
        <c:tickLblSkip val="1"/>
        <c:tickMarkSkip val="1"/>
        <c:noMultiLvlLbl val="0"/>
      </c:catAx>
      <c:valAx>
        <c:axId val="208122056"/>
        <c:scaling>
          <c:orientation val="minMax"/>
        </c:scaling>
        <c:delete val="0"/>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Times New Roman"/>
                    <a:ea typeface="Times New Roman"/>
                    <a:cs typeface="Times New Roman"/>
                  </a:defRPr>
                </a:pPr>
                <a:r>
                  <a:rPr lang="en-US"/>
                  <a:t>Number</a:t>
                </a:r>
              </a:p>
            </c:rich>
          </c:tx>
          <c:layout>
            <c:manualLayout>
              <c:xMode val="edge"/>
              <c:yMode val="edge"/>
              <c:x val="4.9659465643717621E-2"/>
              <c:y val="0.39913698460822589"/>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208057040"/>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Boroujerdi, Mehrzad</dc:creator>
  <cp:keywords/>
  <dc:description/>
  <cp:lastModifiedBy>Boroujerdi, Mehrzad</cp:lastModifiedBy>
  <cp:revision>6</cp:revision>
  <cp:lastPrinted>2024-03-04T14:34:00Z</cp:lastPrinted>
  <dcterms:created xsi:type="dcterms:W3CDTF">2024-03-04T16:16:00Z</dcterms:created>
  <dcterms:modified xsi:type="dcterms:W3CDTF">2024-03-06T14:14:00Z</dcterms:modified>
</cp:coreProperties>
</file>